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480"/>
        <w:jc w:val="both"/>
        <w:rPr/>
      </w:pPr>
      <w:r>
        <w:rPr>
          <w:rFonts w:cs="Times New Roman" w:ascii="Times New Roman" w:hAnsi="Times New Roman"/>
          <w:b/>
          <w:bCs/>
          <w:sz w:val="24"/>
          <w:szCs w:val="24"/>
          <w:u w:val="single"/>
        </w:rPr>
        <w:t xml:space="preserve">A </w:t>
      </w:r>
      <w:r>
        <w:rPr>
          <w:rFonts w:cs="Times New Roman" w:ascii="Times New Roman" w:hAnsi="Times New Roman"/>
          <w:b/>
          <w:bCs/>
          <w:sz w:val="24"/>
          <w:szCs w:val="24"/>
          <w:u w:val="single"/>
          <w:shd w:fill="FFFF00" w:val="clear"/>
        </w:rPr>
        <w:t>[ N.B. in caso di multe sui treni, sulle navi o sugli aerei è possibile che le osservazioni vadano rivolte a Trenitalia oppure alla società di gestione del porto o dell’aeroporto. Controllare attentamente le indicazioni inserite nella multa su come fare il ricorso. Lì c’è l’indicazione del soggetto cui inviare le osservazioni]</w:t>
      </w:r>
    </w:p>
    <w:p>
      <w:pPr>
        <w:pStyle w:val="Normal"/>
        <w:spacing w:lineRule="auto" w:line="480"/>
        <w:jc w:val="both"/>
        <w:rPr>
          <w:rFonts w:ascii="Times New Roman" w:hAnsi="Times New Roman" w:cs="Times New Roman"/>
          <w:b/>
          <w:b/>
          <w:bCs/>
          <w:sz w:val="24"/>
          <w:szCs w:val="24"/>
        </w:rPr>
      </w:pPr>
      <w:r>
        <w:rPr>
          <w:rFonts w:cs="Times New Roman" w:ascii="Times New Roman" w:hAnsi="Times New Roman"/>
          <w:b/>
          <w:bCs/>
          <w:sz w:val="24"/>
          <w:szCs w:val="24"/>
          <w:u w:val="single"/>
        </w:rPr>
        <w:t>________________________________________________________________________________</w:t>
      </w:r>
    </w:p>
    <w:p>
      <w:pPr>
        <w:pStyle w:val="Normal"/>
        <w:spacing w:lineRule="auto" w:line="480"/>
        <w:jc w:val="both"/>
        <w:rPr>
          <w:rFonts w:ascii="Times New Roman" w:hAnsi="Times New Roman" w:cs="Times New Roman"/>
          <w:b/>
          <w:b/>
          <w:bCs/>
          <w:sz w:val="24"/>
          <w:szCs w:val="24"/>
        </w:rPr>
      </w:pPr>
      <w:r>
        <w:rPr>
          <w:rFonts w:cs="Times New Roman" w:ascii="Times New Roman" w:hAnsi="Times New Roman"/>
          <w:b/>
          <w:bCs/>
          <w:sz w:val="24"/>
          <w:szCs w:val="24"/>
        </w:rPr>
        <w:t>Indirizzo: _______________________________________________________________________</w:t>
      </w:r>
    </w:p>
    <w:p>
      <w:pPr>
        <w:pStyle w:val="Normal"/>
        <w:spacing w:lineRule="auto" w:line="480"/>
        <w:jc w:val="both"/>
        <w:rPr>
          <w:rFonts w:ascii="Times New Roman" w:hAnsi="Times New Roman" w:cs="Times New Roman"/>
          <w:b/>
          <w:b/>
          <w:bCs/>
          <w:sz w:val="24"/>
          <w:szCs w:val="24"/>
        </w:rPr>
      </w:pPr>
      <w:r>
        <w:rPr>
          <w:rFonts w:cs="Times New Roman" w:ascii="Times New Roman" w:hAnsi="Times New Roman"/>
          <w:b/>
          <w:bCs/>
          <w:sz w:val="24"/>
          <w:szCs w:val="24"/>
        </w:rPr>
        <w:t>Pec: ____________________________________________________________________________</w:t>
      </w:r>
    </w:p>
    <w:p>
      <w:pPr>
        <w:pStyle w:val="Normal"/>
        <w:spacing w:lineRule="auto" w:line="480"/>
        <w:jc w:val="both"/>
        <w:rPr>
          <w:rFonts w:ascii="Times New Roman" w:hAnsi="Times New Roman" w:cs="Times New Roman"/>
          <w:b/>
          <w:b/>
          <w:bCs/>
          <w:sz w:val="24"/>
          <w:szCs w:val="24"/>
        </w:rPr>
      </w:pPr>
      <w:r>
        <w:rPr>
          <w:rFonts w:cs="Times New Roman" w:ascii="Times New Roman" w:hAnsi="Times New Roman"/>
          <w:b/>
          <w:bCs/>
          <w:sz w:val="24"/>
          <w:szCs w:val="24"/>
        </w:rPr>
        <w:t>Oggetto:</w:t>
      </w:r>
      <w:r>
        <w:rPr>
          <w:rFonts w:cs="Times New Roman" w:ascii="Times New Roman" w:hAnsi="Times New Roman"/>
          <w:sz w:val="24"/>
          <w:szCs w:val="24"/>
        </w:rPr>
        <w:t xml:space="preserve"> Osservazioni ex art. 18 legge 689/1981</w:t>
      </w:r>
    </w:p>
    <w:p>
      <w:pPr>
        <w:pStyle w:val="Normal"/>
        <w:spacing w:lineRule="auto" w:line="480"/>
        <w:jc w:val="both"/>
        <w:rPr>
          <w:rFonts w:ascii="Times New Roman" w:hAnsi="Times New Roman" w:cs="Times New Roman"/>
          <w:sz w:val="24"/>
          <w:szCs w:val="24"/>
        </w:rPr>
      </w:pPr>
      <w:r>
        <w:rPr>
          <w:rFonts w:cs="Times New Roman" w:ascii="Times New Roman" w:hAnsi="Times New Roman"/>
          <w:b/>
          <w:bCs/>
          <w:sz w:val="24"/>
          <w:szCs w:val="24"/>
        </w:rPr>
        <w:t>Verbale di accertamento n.:</w:t>
      </w:r>
      <w:r>
        <w:rPr>
          <w:rFonts w:cs="Times New Roman" w:ascii="Times New Roman" w:hAnsi="Times New Roman"/>
          <w:sz w:val="24"/>
          <w:szCs w:val="24"/>
        </w:rPr>
        <w:t xml:space="preserve"> ________________________________________________________</w:t>
      </w:r>
    </w:p>
    <w:p>
      <w:pPr>
        <w:pStyle w:val="Normal"/>
        <w:spacing w:lineRule="auto" w:line="480"/>
        <w:jc w:val="both"/>
        <w:rPr>
          <w:rFonts w:ascii="Times New Roman" w:hAnsi="Times New Roman" w:cs="Times New Roman"/>
          <w:b/>
          <w:b/>
          <w:bCs/>
          <w:sz w:val="24"/>
          <w:szCs w:val="24"/>
        </w:rPr>
      </w:pPr>
      <w:r>
        <w:rPr>
          <w:rFonts w:cs="Times New Roman" w:ascii="Times New Roman" w:hAnsi="Times New Roman"/>
          <w:b/>
          <w:bCs/>
          <w:sz w:val="24"/>
          <w:szCs w:val="24"/>
        </w:rPr>
        <w:t>Autorità:</w:t>
      </w:r>
      <w:r>
        <w:rPr>
          <w:rFonts w:cs="Times New Roman" w:ascii="Times New Roman" w:hAnsi="Times New Roman"/>
          <w:sz w:val="24"/>
          <w:szCs w:val="24"/>
        </w:rPr>
        <w:t xml:space="preserve"> (inserire il corpo delle forze dell’ordine che ha redatto il verbale) ________________________________________________________________________________</w:t>
      </w:r>
    </w:p>
    <w:p>
      <w:pPr>
        <w:pStyle w:val="Normal"/>
        <w:spacing w:lineRule="auto" w:line="480"/>
        <w:jc w:val="both"/>
        <w:rPr>
          <w:rFonts w:ascii="Times New Roman" w:hAnsi="Times New Roman" w:cs="Times New Roman"/>
          <w:b/>
          <w:b/>
          <w:bCs/>
          <w:sz w:val="24"/>
          <w:szCs w:val="24"/>
        </w:rPr>
      </w:pPr>
      <w:r>
        <w:rPr>
          <w:rFonts w:cs="Times New Roman" w:ascii="Times New Roman" w:hAnsi="Times New Roman"/>
          <w:b/>
          <w:bCs/>
          <w:sz w:val="24"/>
          <w:szCs w:val="24"/>
        </w:rPr>
        <w:t>Interessato: (come compare sul verbale)</w:t>
      </w:r>
    </w:p>
    <w:p>
      <w:pPr>
        <w:pStyle w:val="Normal"/>
        <w:spacing w:lineRule="auto" w:line="480"/>
        <w:jc w:val="both"/>
        <w:rPr>
          <w:rFonts w:ascii="Times New Roman" w:hAnsi="Times New Roman" w:cs="Times New Roman"/>
          <w:b/>
          <w:b/>
          <w:bCs/>
          <w:sz w:val="24"/>
          <w:szCs w:val="24"/>
        </w:rPr>
      </w:pPr>
      <w:r>
        <w:rPr>
          <w:rFonts w:cs="Times New Roman" w:ascii="Times New Roman" w:hAnsi="Times New Roman"/>
          <w:b/>
          <w:bCs/>
          <w:sz w:val="24"/>
          <w:szCs w:val="24"/>
        </w:rPr>
        <w:t>Nome __________________________________________________________________________</w:t>
      </w:r>
    </w:p>
    <w:p>
      <w:pPr>
        <w:pStyle w:val="Normal"/>
        <w:spacing w:lineRule="auto" w:line="480"/>
        <w:jc w:val="both"/>
        <w:rPr>
          <w:rFonts w:ascii="Times New Roman" w:hAnsi="Times New Roman" w:cs="Times New Roman"/>
          <w:b/>
          <w:b/>
          <w:bCs/>
          <w:sz w:val="24"/>
          <w:szCs w:val="24"/>
        </w:rPr>
      </w:pPr>
      <w:r>
        <w:rPr>
          <w:rFonts w:cs="Times New Roman" w:ascii="Times New Roman" w:hAnsi="Times New Roman"/>
          <w:b/>
          <w:bCs/>
          <w:sz w:val="24"/>
          <w:szCs w:val="24"/>
        </w:rPr>
        <w:t>Cognome _______________________________________________________________________</w:t>
      </w:r>
    </w:p>
    <w:p>
      <w:pPr>
        <w:pStyle w:val="Normal"/>
        <w:spacing w:lineRule="auto" w:line="480"/>
        <w:jc w:val="both"/>
        <w:rPr>
          <w:rFonts w:ascii="Times New Roman" w:hAnsi="Times New Roman" w:cs="Times New Roman"/>
          <w:b/>
          <w:b/>
          <w:bCs/>
          <w:sz w:val="24"/>
          <w:szCs w:val="24"/>
        </w:rPr>
      </w:pPr>
      <w:r>
        <w:rPr>
          <w:rFonts w:cs="Times New Roman" w:ascii="Times New Roman" w:hAnsi="Times New Roman"/>
          <w:b/>
          <w:bCs/>
          <w:sz w:val="24"/>
          <w:szCs w:val="24"/>
        </w:rPr>
        <w:t>Nato/a a ________________________________________________________________________</w:t>
      </w:r>
    </w:p>
    <w:p>
      <w:pPr>
        <w:pStyle w:val="Normal"/>
        <w:spacing w:lineRule="auto" w:line="480"/>
        <w:jc w:val="both"/>
        <w:rPr>
          <w:rFonts w:ascii="Times New Roman" w:hAnsi="Times New Roman" w:cs="Times New Roman"/>
          <w:b/>
          <w:b/>
          <w:bCs/>
          <w:sz w:val="24"/>
          <w:szCs w:val="24"/>
        </w:rPr>
      </w:pPr>
      <w:r>
        <w:rPr>
          <w:rFonts w:cs="Times New Roman" w:ascii="Times New Roman" w:hAnsi="Times New Roman"/>
          <w:b/>
          <w:bCs/>
          <w:sz w:val="24"/>
          <w:szCs w:val="24"/>
        </w:rPr>
        <w:t>Il ______________________________________________________________________________</w:t>
      </w:r>
    </w:p>
    <w:p>
      <w:pPr>
        <w:pStyle w:val="Normal"/>
        <w:spacing w:lineRule="auto" w:line="480"/>
        <w:jc w:val="both"/>
        <w:rPr>
          <w:rFonts w:ascii="Times New Roman" w:hAnsi="Times New Roman" w:cs="Times New Roman"/>
          <w:b/>
          <w:b/>
          <w:bCs/>
          <w:sz w:val="24"/>
          <w:szCs w:val="24"/>
        </w:rPr>
      </w:pPr>
      <w:r>
        <w:rPr>
          <w:rFonts w:cs="Times New Roman" w:ascii="Times New Roman" w:hAnsi="Times New Roman"/>
          <w:b/>
          <w:bCs/>
          <w:sz w:val="24"/>
          <w:szCs w:val="24"/>
        </w:rPr>
        <w:t>Residente in _____________________________________________________________________</w:t>
      </w:r>
    </w:p>
    <w:p>
      <w:pPr>
        <w:pStyle w:val="Normal"/>
        <w:spacing w:lineRule="auto" w:line="480"/>
        <w:jc w:val="both"/>
        <w:rPr>
          <w:rFonts w:ascii="Times New Roman" w:hAnsi="Times New Roman" w:cs="Times New Roman"/>
          <w:b/>
          <w:b/>
          <w:bCs/>
          <w:sz w:val="24"/>
          <w:szCs w:val="24"/>
        </w:rPr>
      </w:pPr>
      <w:r>
        <w:rPr>
          <w:rFonts w:cs="Times New Roman" w:ascii="Times New Roman" w:hAnsi="Times New Roman"/>
          <w:sz w:val="24"/>
          <w:szCs w:val="24"/>
        </w:rPr>
        <w:t>D’ora in avanti detto “ricorrente”</w:t>
      </w:r>
    </w:p>
    <w:p>
      <w:pPr>
        <w:pStyle w:val="Normal"/>
        <w:spacing w:lineRule="auto" w:line="480"/>
        <w:jc w:val="both"/>
        <w:rPr>
          <w:rFonts w:ascii="Times New Roman" w:hAnsi="Times New Roman" w:cs="Times New Roman"/>
          <w:sz w:val="24"/>
          <w:szCs w:val="24"/>
        </w:rPr>
      </w:pPr>
      <w:r>
        <w:rPr>
          <w:rFonts w:cs="Times New Roman" w:ascii="Times New Roman" w:hAnsi="Times New Roman"/>
          <w:b/>
          <w:bCs/>
          <w:sz w:val="24"/>
          <w:szCs w:val="24"/>
        </w:rPr>
        <w:t>Codice fiscale:</w:t>
      </w:r>
      <w:r>
        <w:rPr>
          <w:rFonts w:cs="Times New Roman" w:ascii="Times New Roman" w:hAnsi="Times New Roman"/>
          <w:sz w:val="24"/>
          <w:szCs w:val="24"/>
        </w:rPr>
        <w:t xml:space="preserve"> ___________________________________________________________________</w:t>
      </w:r>
    </w:p>
    <w:p>
      <w:pPr>
        <w:pStyle w:val="Normal"/>
        <w:spacing w:lineRule="auto" w:line="480"/>
        <w:jc w:val="both"/>
        <w:rPr>
          <w:rFonts w:ascii="Times New Roman" w:hAnsi="Times New Roman" w:cs="Times New Roman"/>
          <w:sz w:val="24"/>
          <w:szCs w:val="24"/>
        </w:rPr>
      </w:pPr>
      <w:r>
        <w:rPr>
          <w:rFonts w:cs="Times New Roman" w:ascii="Times New Roman" w:hAnsi="Times New Roman"/>
          <w:b/>
          <w:bCs/>
          <w:sz w:val="24"/>
          <w:szCs w:val="24"/>
        </w:rPr>
        <w:t xml:space="preserve">Contestazioni: </w:t>
      </w:r>
      <w:r>
        <w:rPr>
          <w:rFonts w:cs="Times New Roman" w:ascii="Times New Roman" w:hAnsi="Times New Roman"/>
          <w:sz w:val="24"/>
          <w:szCs w:val="24"/>
        </w:rPr>
        <w:t xml:space="preserve">Violazione dell’obbligo di essere munito di certificazione verde Covid-19 (d’ora in avanti anche “marchio verde”) per l’accesso a [barrare l’attività di cui al verbale impugnato]: </w:t>
      </w:r>
    </w:p>
    <w:p>
      <w:pPr>
        <w:pStyle w:val="Paragrafoelenco"/>
        <w:spacing w:lineRule="exact" w:line="440" w:before="0" w:after="0"/>
        <w:ind w:left="0" w:right="0" w:hanging="0"/>
        <w:contextualSpacing/>
        <w:jc w:val="both"/>
        <w:rPr>
          <w:rFonts w:ascii="Times New Roman" w:hAnsi="Times New Roman" w:cs="Times New Roman"/>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servizi di ristorazione svolti da qualsiasi esercizio, di cui all’articolo 4, per il consumo al tavolo, al chiuso; </w:t>
      </w:r>
    </w:p>
    <w:p>
      <w:pPr>
        <w:pStyle w:val="Paragrafoelenco"/>
        <w:spacing w:lineRule="exact" w:line="440" w:before="0" w:after="0"/>
        <w:ind w:left="0" w:right="0" w:hanging="0"/>
        <w:contextualSpacing/>
        <w:jc w:val="both"/>
        <w:rPr>
          <w:rFonts w:ascii="Times New Roman" w:hAnsi="Times New Roman" w:cs="Times New Roman"/>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spettacoli aperti al pubblico, eventi e competizioni sportivi;</w:t>
      </w:r>
    </w:p>
    <w:p>
      <w:pPr>
        <w:pStyle w:val="Paragrafoelenco"/>
        <w:spacing w:lineRule="exact" w:line="440" w:before="0" w:after="0"/>
        <w:ind w:left="0" w:right="0" w:hanging="0"/>
        <w:contextualSpacing/>
        <w:jc w:val="both"/>
        <w:rPr>
          <w:rFonts w:ascii="Times New Roman" w:hAnsi="Times New Roman" w:cs="Times New Roman"/>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musei, altri istituti e luoghi della cultura e mostre; </w:t>
      </w:r>
    </w:p>
    <w:p>
      <w:pPr>
        <w:pStyle w:val="Paragrafoelenco"/>
        <w:spacing w:lineRule="exact" w:line="440" w:before="0" w:after="0"/>
        <w:ind w:left="0" w:right="0" w:hanging="0"/>
        <w:contextualSpacing/>
        <w:jc w:val="both"/>
        <w:rPr>
          <w:rFonts w:ascii="Times New Roman" w:hAnsi="Times New Roman" w:cs="Times New Roman"/>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piscine, centri natatori, palestre, sport di squadra, centri benessere, anche all’interno di strutture ricettive, di cui all’articolo 6, limitatamente alle attività al chiuso;</w:t>
      </w:r>
    </w:p>
    <w:p>
      <w:pPr>
        <w:pStyle w:val="Paragrafoelenco"/>
        <w:spacing w:lineRule="exact" w:line="440" w:before="0" w:after="0"/>
        <w:ind w:left="0" w:right="0" w:hanging="0"/>
        <w:contextualSpacing/>
        <w:jc w:val="both"/>
        <w:rPr>
          <w:rFonts w:ascii="Times New Roman" w:hAnsi="Times New Roman" w:cs="Times New Roman"/>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sagre e fiere, convegni e congressi;</w:t>
      </w:r>
    </w:p>
    <w:p>
      <w:pPr>
        <w:pStyle w:val="Paragrafoelenco"/>
        <w:spacing w:lineRule="exact" w:line="440" w:before="0" w:after="0"/>
        <w:ind w:left="0" w:right="0" w:hanging="0"/>
        <w:contextualSpacing/>
        <w:jc w:val="both"/>
        <w:rPr>
          <w:rFonts w:ascii="Times New Roman" w:hAnsi="Times New Roman" w:cs="Times New Roman"/>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centri termali, parchi tematici e di divertimento;</w:t>
      </w:r>
    </w:p>
    <w:p>
      <w:pPr>
        <w:pStyle w:val="Paragrafoelenco"/>
        <w:spacing w:lineRule="exact" w:line="440" w:before="0" w:after="0"/>
        <w:ind w:left="0" w:right="0" w:hanging="0"/>
        <w:contextualSpacing/>
        <w:jc w:val="both"/>
        <w:rPr>
          <w:rFonts w:ascii="Times New Roman" w:hAnsi="Times New Roman" w:cs="Times New Roman"/>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centri culturali, centri sociali e ricreativi;</w:t>
      </w:r>
    </w:p>
    <w:p>
      <w:pPr>
        <w:pStyle w:val="Paragrafoelenco"/>
        <w:spacing w:lineRule="exact" w:line="440" w:before="0" w:after="0"/>
        <w:ind w:left="0" w:right="0" w:hanging="0"/>
        <w:contextualSpacing/>
        <w:jc w:val="both"/>
        <w:rPr>
          <w:rFonts w:ascii="Times New Roman" w:hAnsi="Times New Roman" w:cs="Times New Roman"/>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attività di sale gioco, sale scommesse, sale bingo e casinò;</w:t>
      </w:r>
    </w:p>
    <w:p>
      <w:pPr>
        <w:pStyle w:val="Paragrafoelenco"/>
        <w:spacing w:lineRule="exact" w:line="440" w:before="0" w:after="0"/>
        <w:ind w:left="0" w:right="0" w:hanging="0"/>
        <w:contextualSpacing/>
        <w:jc w:val="both"/>
        <w:rPr>
          <w:rFonts w:ascii="Times New Roman" w:hAnsi="Times New Roman" w:cs="Times New Roman"/>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aeromobili adibiti a servizi commerciali di trasporto di persone;</w:t>
      </w:r>
    </w:p>
    <w:p>
      <w:pPr>
        <w:pStyle w:val="Paragrafoelenco"/>
        <w:spacing w:lineRule="exact" w:line="440" w:before="0" w:after="0"/>
        <w:ind w:left="0" w:right="0" w:hanging="0"/>
        <w:contextualSpacing/>
        <w:jc w:val="both"/>
        <w:rPr>
          <w:rFonts w:ascii="Times New Roman" w:hAnsi="Times New Roman" w:cs="Times New Roman"/>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navi e traghetti adibiti a servizi di trasporto interregionale;</w:t>
      </w:r>
    </w:p>
    <w:p>
      <w:pPr>
        <w:pStyle w:val="Paragrafoelenco"/>
        <w:spacing w:lineRule="exact" w:line="440" w:before="0" w:after="0"/>
        <w:ind w:left="0" w:right="0" w:hanging="0"/>
        <w:contextualSpacing/>
        <w:jc w:val="both"/>
        <w:rPr>
          <w:rFonts w:ascii="Times New Roman" w:hAnsi="Times New Roman" w:cs="Times New Roman"/>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treni impiegati nei servizi di trasporto ferroviario passeggeri di tipo Intercity, Intercity Notte e Alta Velocità;</w:t>
      </w:r>
    </w:p>
    <w:p>
      <w:pPr>
        <w:pStyle w:val="Paragrafoelenco"/>
        <w:spacing w:lineRule="exact" w:line="440" w:before="0" w:after="0"/>
        <w:ind w:left="0" w:right="0" w:hanging="0"/>
        <w:contextualSpacing/>
        <w:jc w:val="both"/>
        <w:rPr>
          <w:rFonts w:ascii="Times New Roman" w:hAnsi="Times New Roman" w:cs="Times New Roman"/>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autobus adibiti a servizi di trasporto di persone, ad offerta indifferenziata, effettuati su strada in modo continuativo o periodico su un percorso che collega più di due regioni ed aventi itinerari, orari, frequenze e prezzi prestabiliti;</w:t>
      </w:r>
    </w:p>
    <w:p>
      <w:pPr>
        <w:pStyle w:val="Paragrafoelenco"/>
        <w:spacing w:lineRule="exact" w:line="440" w:before="0" w:after="0"/>
        <w:ind w:left="0" w:right="0" w:hanging="0"/>
        <w:contextualSpacing/>
        <w:jc w:val="both"/>
        <w:rPr>
          <w:rFonts w:ascii="Times New Roman" w:hAnsi="Times New Roman" w:cs="Times New Roman"/>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autobus adibiti a servizi di noleggio con conducente, ad esclusione di quelli impiegati nei servizi aggiuntivi di trasporto pubblico locale e regionale.</w:t>
      </w:r>
    </w:p>
    <w:p>
      <w:pPr>
        <w:pStyle w:val="Paragrafoelenco"/>
        <w:spacing w:lineRule="exact" w:line="440" w:before="0" w:after="0"/>
        <w:ind w:left="0" w:right="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t>*.*.*.*</w:t>
      </w:r>
    </w:p>
    <w:p>
      <w:pPr>
        <w:pStyle w:val="Normal"/>
        <w:spacing w:lineRule="exact" w:line="480"/>
        <w:jc w:val="both"/>
        <w:rPr>
          <w:rFonts w:ascii="Times New Roman" w:hAnsi="Times New Roman" w:cs="Times New Roman"/>
          <w:sz w:val="24"/>
          <w:szCs w:val="24"/>
        </w:rPr>
      </w:pPr>
      <w:r>
        <w:rPr>
          <w:rFonts w:cs="Times New Roman" w:ascii="Times New Roman" w:hAnsi="Times New Roman"/>
          <w:sz w:val="24"/>
          <w:szCs w:val="24"/>
          <w:shd w:fill="FFFF00" w:val="clear"/>
        </w:rPr>
        <w:t xml:space="preserve">(Inserire qui una breve descrizione dei fatti, dell’occasione in cui è stato redatto il verbale, con l’aggiunta di tutte le circostanze che potrebbero essere di rilievo, ad esempio: i verbalizzanti rifiutavano di declinare le proprie generalità, entravano nel locale contro il divieto del gestore o simili). </w:t>
      </w:r>
    </w:p>
    <w:p>
      <w:pPr>
        <w:pStyle w:val="Normal"/>
        <w:spacing w:lineRule="exact" w:line="480"/>
        <w:jc w:val="both"/>
        <w:rPr>
          <w:rFonts w:ascii="Times New Roman" w:hAnsi="Times New Roman" w:cs="Times New Roman"/>
          <w:b/>
          <w:b/>
          <w:bCs/>
          <w:sz w:val="24"/>
          <w:szCs w:val="24"/>
        </w:rPr>
      </w:pPr>
      <w:r>
        <w:rPr>
          <w:rFonts w:cs="Times New Roman" w:ascii="Times New Roman" w:hAnsi="Times New Roman"/>
          <w:sz w:val="24"/>
          <w:szCs w:val="24"/>
        </w:rPr>
        <w:t xml:space="preserve">Il ricorrente chiede annullarsi il verbale sopra menzionato e disporsi l’archiviazione del procedimento sanzionatorio e chiede di essere sentito. </w:t>
      </w:r>
    </w:p>
    <w:p>
      <w:pPr>
        <w:pStyle w:val="Normal"/>
        <w:spacing w:lineRule="exact" w:line="480"/>
        <w:jc w:val="center"/>
        <w:rPr>
          <w:rFonts w:ascii="Times New Roman" w:hAnsi="Times New Roman" w:cs="Times New Roman"/>
          <w:b/>
          <w:b/>
          <w:bCs/>
          <w:sz w:val="24"/>
          <w:szCs w:val="24"/>
        </w:rPr>
      </w:pPr>
      <w:r>
        <w:rPr>
          <w:rFonts w:cs="Times New Roman" w:ascii="Times New Roman" w:hAnsi="Times New Roman"/>
          <w:b/>
          <w:bCs/>
          <w:sz w:val="24"/>
          <w:szCs w:val="24"/>
        </w:rPr>
        <w:t>MOTIVI</w:t>
      </w:r>
    </w:p>
    <w:p>
      <w:pPr>
        <w:pStyle w:val="Normal"/>
        <w:spacing w:lineRule="exact" w:line="48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autoSpaceDE w:val="false"/>
        <w:spacing w:lineRule="exact" w:line="480"/>
        <w:jc w:val="both"/>
        <w:rPr>
          <w:rFonts w:ascii="Times New Roman" w:hAnsi="Times New Roman" w:cs="Times New Roman"/>
          <w:b/>
          <w:b/>
          <w:bCs/>
          <w:sz w:val="24"/>
          <w:szCs w:val="24"/>
        </w:rPr>
      </w:pPr>
      <w:r>
        <w:rPr>
          <w:rFonts w:cs="Times New Roman" w:ascii="Times New Roman" w:hAnsi="Times New Roman"/>
          <w:b/>
          <w:bCs/>
          <w:sz w:val="24"/>
          <w:szCs w:val="24"/>
        </w:rPr>
        <w:t>Illegalità della disciplina in materia di marchio verde (c.d. “certificato verde Covid-19)</w:t>
      </w:r>
    </w:p>
    <w:p>
      <w:pPr>
        <w:pStyle w:val="Normal"/>
        <w:numPr>
          <w:ilvl w:val="0"/>
          <w:numId w:val="2"/>
        </w:numPr>
        <w:autoSpaceDE w:val="false"/>
        <w:spacing w:lineRule="exact" w:line="480"/>
        <w:jc w:val="both"/>
        <w:rPr>
          <w:rFonts w:ascii="Times New Roman" w:hAnsi="Times New Roman" w:cs="Times New Roman"/>
          <w:b/>
          <w:b/>
          <w:bCs/>
          <w:sz w:val="24"/>
          <w:szCs w:val="24"/>
        </w:rPr>
      </w:pPr>
      <w:r>
        <w:rPr>
          <w:rFonts w:cs="Times New Roman" w:ascii="Times New Roman" w:hAnsi="Times New Roman"/>
          <w:sz w:val="24"/>
          <w:szCs w:val="24"/>
          <w:shd w:fill="FFFFFF" w:val="clear"/>
        </w:rPr>
        <w:t xml:space="preserve">Il marchio verde è un documento del diritto dell’Unione Europea, introdotto dal Regolamento 953/2021 del Parlamento e del Consiglio ed avente lo scopo di agevolare gli spostamenti delle persone in ambito transfrontaliero europeo (area Schengen) e di giungere ad una progressiva eliminazione delle limitazioni all’ingresso negli stati membri dell’Unione per i cittadini di altri stati. Nonostante tale chiarissima impostazione normativa e sebbene il Regolamento 953 indicasse chiaramente che il marchio verde non avrebbe potuto essere utilizzato al fine di attuare una discriminazione, soprattutto dei cittadini che avessero scelto di non vaccinarsi, il governo italiano ha utilizzato il documento introdotto a livello europeo al fine di istituire una discriminazione per ragioni biologiche consentendo, in sostanza, alle sole persone che abbiano deciso per l’inoculazione dei vaccini sperimentali contro il Covid-19, una serie di attività fondamentali che rientrano nei basilari diritti di libertà di tutte le persone. </w:t>
      </w:r>
    </w:p>
    <w:p>
      <w:pPr>
        <w:pStyle w:val="Normal"/>
        <w:numPr>
          <w:ilvl w:val="0"/>
          <w:numId w:val="2"/>
        </w:numPr>
        <w:autoSpaceDE w:val="false"/>
        <w:spacing w:lineRule="exact" w:line="480"/>
        <w:jc w:val="both"/>
        <w:rPr>
          <w:rFonts w:ascii="Times New Roman" w:hAnsi="Times New Roman" w:cs="Times New Roman"/>
          <w:b/>
          <w:b/>
          <w:bCs/>
          <w:sz w:val="24"/>
          <w:szCs w:val="24"/>
        </w:rPr>
      </w:pPr>
      <w:r>
        <w:rPr>
          <w:rFonts w:cs="Times New Roman" w:ascii="Times New Roman" w:hAnsi="Times New Roman"/>
          <w:sz w:val="24"/>
          <w:szCs w:val="24"/>
          <w:shd w:fill="FFFFFF" w:val="clear"/>
        </w:rPr>
        <w:t xml:space="preserve">Le norme poste alla base della sanzione amministrativa sono costituzionalmente illegittime e comunque inapplicabili nell’ordinamento della Repubblica Italiana per contrasto con le superiori norme dell’ordinamento dell’Unione Europea. Pertanto, il Prefetto deve disapplicare il decreto-legge n. 52/2021 (come modificato e integrato dai decreti-legge n. 105/2021 e n. 111/2021), i DPCM del 2.03.2021 e del 17.06.2021 e il decreto-legge 19/2020 il cui regime sanzionatorio è stato esteso alle “violazioni” in materia di marchio verde. </w:t>
      </w:r>
    </w:p>
    <w:p>
      <w:pPr>
        <w:pStyle w:val="Normal"/>
        <w:numPr>
          <w:ilvl w:val="0"/>
          <w:numId w:val="2"/>
        </w:numPr>
        <w:autoSpaceDE w:val="false"/>
        <w:spacing w:lineRule="exact" w:line="480"/>
        <w:jc w:val="both"/>
        <w:rPr>
          <w:rFonts w:ascii="Times New Roman" w:hAnsi="Times New Roman" w:cs="Times New Roman"/>
          <w:sz w:val="24"/>
          <w:szCs w:val="24"/>
        </w:rPr>
      </w:pPr>
      <w:r>
        <w:rPr>
          <w:rFonts w:cs="Times New Roman" w:ascii="Times New Roman" w:hAnsi="Times New Roman"/>
          <w:b/>
          <w:bCs/>
          <w:sz w:val="24"/>
          <w:szCs w:val="24"/>
          <w:u w:val="single"/>
        </w:rPr>
        <w:t>Il marchio verde o Green Pass è illegale e illegittimo</w:t>
      </w:r>
      <w:r>
        <w:rPr>
          <w:rFonts w:cs="Times New Roman" w:ascii="Times New Roman" w:hAnsi="Times New Roman"/>
          <w:sz w:val="24"/>
          <w:szCs w:val="24"/>
        </w:rPr>
        <w:t>:</w:t>
      </w:r>
    </w:p>
    <w:p>
      <w:pPr>
        <w:pStyle w:val="Normal"/>
        <w:numPr>
          <w:ilvl w:val="0"/>
          <w:numId w:val="4"/>
        </w:numPr>
        <w:autoSpaceDE w:val="false"/>
        <w:spacing w:lineRule="exact" w:line="480"/>
        <w:jc w:val="both"/>
        <w:rPr>
          <w:rFonts w:ascii="Times New Roman" w:hAnsi="Times New Roman" w:cs="Times New Roman"/>
          <w:sz w:val="24"/>
          <w:szCs w:val="24"/>
        </w:rPr>
      </w:pPr>
      <w:r>
        <w:rPr>
          <w:rFonts w:cs="Times New Roman" w:ascii="Times New Roman" w:hAnsi="Times New Roman"/>
          <w:sz w:val="24"/>
          <w:szCs w:val="24"/>
        </w:rPr>
        <w:t xml:space="preserve">esso obbliga al vaccino o all’effettuazione di un tampone ogni 48 ore. Ciò è illegale in base alla </w:t>
      </w:r>
      <w:r>
        <w:rPr>
          <w:rFonts w:cs="Times New Roman" w:ascii="Times New Roman" w:hAnsi="Times New Roman"/>
          <w:b/>
          <w:bCs/>
          <w:sz w:val="24"/>
          <w:szCs w:val="24"/>
          <w:u w:val="single"/>
        </w:rPr>
        <w:t>Carta dei diritti fondamentali dell’Unione Europea</w:t>
      </w:r>
      <w:r>
        <w:rPr>
          <w:rFonts w:cs="Times New Roman" w:ascii="Times New Roman" w:hAnsi="Times New Roman"/>
          <w:sz w:val="24"/>
          <w:szCs w:val="24"/>
        </w:rPr>
        <w:t xml:space="preserve"> che all’art. 3 dispone: </w:t>
      </w:r>
      <w:r>
        <w:rPr>
          <w:rFonts w:cs="Times New Roman" w:ascii="Times New Roman" w:hAnsi="Times New Roman"/>
          <w:i/>
          <w:iCs/>
          <w:sz w:val="24"/>
          <w:szCs w:val="24"/>
        </w:rPr>
        <w:t xml:space="preserve">“Ogni individuo </w:t>
      </w:r>
      <w:r>
        <w:rPr>
          <w:rFonts w:cs="Times New Roman" w:ascii="Times New Roman" w:hAnsi="Times New Roman"/>
          <w:b/>
          <w:bCs/>
          <w:i/>
          <w:iCs/>
          <w:sz w:val="24"/>
          <w:szCs w:val="24"/>
        </w:rPr>
        <w:t xml:space="preserve">ha diritto alla propria integrità fisica </w:t>
      </w:r>
      <w:r>
        <w:rPr>
          <w:rFonts w:cs="Times New Roman" w:ascii="Times New Roman" w:hAnsi="Times New Roman"/>
          <w:i/>
          <w:iCs/>
          <w:sz w:val="24"/>
          <w:szCs w:val="24"/>
        </w:rPr>
        <w:t xml:space="preserve">e psichica. </w:t>
      </w:r>
      <w:r>
        <w:rPr>
          <w:rFonts w:cs="Times New Roman" w:ascii="Times New Roman" w:hAnsi="Times New Roman"/>
          <w:b/>
          <w:bCs/>
          <w:i/>
          <w:iCs/>
          <w:sz w:val="24"/>
          <w:szCs w:val="24"/>
        </w:rPr>
        <w:t>Nell’ambito della medicina e della biologia devono essere in particolare rispettati: il consenso libero e informato della persona interessata</w:t>
      </w:r>
      <w:r>
        <w:rPr>
          <w:rFonts w:cs="Times New Roman" w:ascii="Times New Roman" w:hAnsi="Times New Roman"/>
          <w:i/>
          <w:iCs/>
          <w:sz w:val="24"/>
          <w:szCs w:val="24"/>
        </w:rPr>
        <w:t>, secondo le modalità definite dalla legge.”</w:t>
      </w:r>
    </w:p>
    <w:p>
      <w:pPr>
        <w:pStyle w:val="Normal"/>
        <w:numPr>
          <w:ilvl w:val="0"/>
          <w:numId w:val="4"/>
        </w:numPr>
        <w:autoSpaceDE w:val="false"/>
        <w:spacing w:lineRule="exact" w:line="480"/>
        <w:jc w:val="both"/>
        <w:rPr>
          <w:rFonts w:ascii="Times New Roman" w:hAnsi="Times New Roman" w:cs="Times New Roman"/>
          <w:sz w:val="24"/>
          <w:szCs w:val="24"/>
        </w:rPr>
      </w:pPr>
      <w:r>
        <w:rPr>
          <w:rFonts w:cs="Times New Roman" w:ascii="Times New Roman" w:hAnsi="Times New Roman"/>
          <w:sz w:val="24"/>
          <w:szCs w:val="24"/>
        </w:rPr>
        <w:t xml:space="preserve">Il </w:t>
      </w:r>
      <w:r>
        <w:rPr>
          <w:rFonts w:cs="Times New Roman" w:ascii="Times New Roman" w:hAnsi="Times New Roman"/>
          <w:b/>
          <w:bCs/>
          <w:sz w:val="24"/>
          <w:szCs w:val="24"/>
        </w:rPr>
        <w:t>Regolamento CE 953/2021</w:t>
      </w:r>
      <w:r>
        <w:rPr>
          <w:rFonts w:cs="Times New Roman" w:ascii="Times New Roman" w:hAnsi="Times New Roman"/>
          <w:sz w:val="24"/>
          <w:szCs w:val="24"/>
        </w:rPr>
        <w:t xml:space="preserve"> stabilisce al “considerando” 36 che </w:t>
      </w:r>
      <w:r>
        <w:rPr>
          <w:rFonts w:cs="Times New Roman" w:ascii="Times New Roman" w:hAnsi="Times New Roman"/>
          <w:i/>
          <w:iCs/>
          <w:sz w:val="24"/>
          <w:szCs w:val="24"/>
        </w:rPr>
        <w:t xml:space="preserve">“È necessario </w:t>
      </w:r>
      <w:r>
        <w:rPr>
          <w:rFonts w:cs="Times New Roman" w:ascii="Times New Roman" w:hAnsi="Times New Roman"/>
          <w:b/>
          <w:bCs/>
          <w:i/>
          <w:iCs/>
          <w:sz w:val="24"/>
          <w:szCs w:val="24"/>
        </w:rPr>
        <w:t>evitare la discriminazione diretta o indiretta di persone che</w:t>
      </w:r>
      <w:r>
        <w:rPr>
          <w:rFonts w:cs="Times New Roman" w:ascii="Times New Roman" w:hAnsi="Times New Roman"/>
          <w:i/>
          <w:iCs/>
          <w:sz w:val="24"/>
          <w:szCs w:val="24"/>
        </w:rPr>
        <w:t xml:space="preserve"> non sono vaccinate, per esempio per motivi medici, perché non rientrano nel gruppo di destinatari per cui il vaccino anti COVID-19 è attualmente somministrato o consentito, come i bambini, o perché non hanno ancora avuto l'opportunità di essere vaccinate o </w:t>
      </w:r>
      <w:r>
        <w:rPr>
          <w:rFonts w:cs="Times New Roman" w:ascii="Times New Roman" w:hAnsi="Times New Roman"/>
          <w:b/>
          <w:bCs/>
          <w:i/>
          <w:iCs/>
          <w:sz w:val="24"/>
          <w:szCs w:val="24"/>
        </w:rPr>
        <w:t>hanno scelto di non essere vaccinate</w:t>
      </w:r>
      <w:r>
        <w:rPr>
          <w:rFonts w:cs="Times New Roman" w:ascii="Times New Roman" w:hAnsi="Times New Roman"/>
          <w:i/>
          <w:iCs/>
          <w:sz w:val="24"/>
          <w:szCs w:val="24"/>
        </w:rPr>
        <w:t xml:space="preserve">. Pertanto, il possesso di un certificato di vaccinazione, o di un certificato di vaccinazione che attesti l'uso di uno specifico vaccino anti COVID-19, non dovrebbe costituire una condizione preliminare per l'esercizio del diritto di libera circolazione o per l'utilizzo di servizi di trasporto passeggeri transfrontalieri quali linee aeree, treni, pullman, traghetti o qualsiasi altro mezzo di trasporto. Inoltre, </w:t>
      </w:r>
      <w:r>
        <w:rPr>
          <w:rFonts w:cs="Times New Roman" w:ascii="Times New Roman" w:hAnsi="Times New Roman"/>
          <w:b/>
          <w:bCs/>
          <w:i/>
          <w:iCs/>
          <w:sz w:val="24"/>
          <w:szCs w:val="24"/>
        </w:rPr>
        <w:t>il presente regolamento non può essere interpretato nel senso che istituisce un diritto o un obbligo a essere vaccinati</w:t>
      </w:r>
      <w:r>
        <w:rPr>
          <w:rFonts w:cs="Times New Roman" w:ascii="Times New Roman" w:hAnsi="Times New Roman"/>
          <w:i/>
          <w:iCs/>
          <w:sz w:val="24"/>
          <w:szCs w:val="24"/>
        </w:rPr>
        <w:t>.</w:t>
      </w:r>
      <w:r>
        <w:rPr>
          <w:rFonts w:cs="Times New Roman" w:ascii="Times New Roman" w:hAnsi="Times New Roman"/>
          <w:sz w:val="24"/>
          <w:szCs w:val="24"/>
        </w:rPr>
        <w:t>”</w:t>
      </w:r>
    </w:p>
    <w:p>
      <w:pPr>
        <w:pStyle w:val="Normal"/>
        <w:numPr>
          <w:ilvl w:val="0"/>
          <w:numId w:val="4"/>
        </w:numPr>
        <w:autoSpaceDE w:val="false"/>
        <w:spacing w:lineRule="exact" w:line="480"/>
        <w:jc w:val="both"/>
        <w:rPr>
          <w:rFonts w:ascii="Times New Roman" w:hAnsi="Times New Roman" w:cs="Times New Roman"/>
          <w:sz w:val="24"/>
          <w:szCs w:val="24"/>
        </w:rPr>
      </w:pPr>
      <w:r>
        <w:rPr>
          <w:rFonts w:cs="Times New Roman" w:ascii="Times New Roman" w:hAnsi="Times New Roman"/>
          <w:sz w:val="24"/>
          <w:szCs w:val="24"/>
        </w:rPr>
        <w:t xml:space="preserve">Le norme europee prevalgono su quelle nazionali. Infatti, l’art. 9 del decreto-legge 52/2021 (come modificato dall'articolo 4 DL 105/2021), che introduce il “green pass” prevede espressamente l’applicabilità delle norme italiane solo se compatibili con il Regolamento CE 953/2021. </w:t>
      </w:r>
      <w:r>
        <w:rPr>
          <w:rFonts w:cs="Times New Roman" w:ascii="Times New Roman" w:hAnsi="Times New Roman"/>
          <w:b/>
          <w:bCs/>
          <w:sz w:val="24"/>
          <w:szCs w:val="24"/>
        </w:rPr>
        <w:t>Pertanto, il “green pass” è FACOLTATIVO anche per espressa volontà del legislatore italiano</w:t>
      </w:r>
      <w:r>
        <w:rPr>
          <w:rFonts w:cs="Times New Roman" w:ascii="Times New Roman" w:hAnsi="Times New Roman"/>
          <w:sz w:val="24"/>
          <w:szCs w:val="24"/>
        </w:rPr>
        <w:t>.</w:t>
      </w:r>
    </w:p>
    <w:p>
      <w:pPr>
        <w:pStyle w:val="Normal"/>
        <w:numPr>
          <w:ilvl w:val="0"/>
          <w:numId w:val="4"/>
        </w:numPr>
        <w:autoSpaceDE w:val="false"/>
        <w:spacing w:lineRule="exact" w:line="480"/>
        <w:jc w:val="both"/>
        <w:rPr>
          <w:rFonts w:ascii="Times New Roman" w:hAnsi="Times New Roman" w:cs="Times New Roman"/>
          <w:sz w:val="24"/>
          <w:szCs w:val="24"/>
        </w:rPr>
      </w:pPr>
      <w:r>
        <w:rPr>
          <w:rFonts w:cs="Times New Roman" w:ascii="Times New Roman" w:hAnsi="Times New Roman"/>
          <w:sz w:val="24"/>
          <w:szCs w:val="24"/>
        </w:rPr>
        <w:t xml:space="preserve">Il </w:t>
      </w:r>
      <w:r>
        <w:rPr>
          <w:rFonts w:cs="Times New Roman" w:ascii="Times New Roman" w:hAnsi="Times New Roman"/>
          <w:b/>
          <w:bCs/>
          <w:sz w:val="24"/>
          <w:szCs w:val="24"/>
        </w:rPr>
        <w:t>Consiglio d’Europa</w:t>
      </w:r>
      <w:r>
        <w:rPr>
          <w:rFonts w:cs="Times New Roman" w:ascii="Times New Roman" w:hAnsi="Times New Roman"/>
          <w:sz w:val="24"/>
          <w:szCs w:val="24"/>
        </w:rPr>
        <w:t xml:space="preserve"> con la </w:t>
      </w:r>
      <w:r>
        <w:rPr>
          <w:rFonts w:cs="Times New Roman" w:ascii="Times New Roman" w:hAnsi="Times New Roman"/>
          <w:b/>
          <w:bCs/>
          <w:sz w:val="24"/>
          <w:szCs w:val="24"/>
          <w:u w:val="single"/>
        </w:rPr>
        <w:t>risoluzione n. 2631 del 27 gennaio 2021</w:t>
      </w:r>
      <w:r>
        <w:rPr>
          <w:rFonts w:cs="Times New Roman" w:ascii="Times New Roman" w:hAnsi="Times New Roman"/>
          <w:sz w:val="24"/>
          <w:szCs w:val="24"/>
        </w:rPr>
        <w:t xml:space="preserve"> ha disposto: </w:t>
      </w:r>
      <w:r>
        <w:rPr>
          <w:rFonts w:cs="Times New Roman" w:ascii="Times New Roman" w:hAnsi="Times New Roman"/>
          <w:i/>
          <w:iCs/>
          <w:sz w:val="24"/>
          <w:szCs w:val="24"/>
        </w:rPr>
        <w:t xml:space="preserve">“L’assemblea invita gli stati membri e l’Unione Europea ad assicurare: - </w:t>
      </w:r>
      <w:r>
        <w:rPr>
          <w:rFonts w:cs="Times New Roman" w:ascii="Times New Roman" w:hAnsi="Times New Roman"/>
          <w:b/>
          <w:bCs/>
          <w:i/>
          <w:iCs/>
          <w:sz w:val="24"/>
          <w:szCs w:val="24"/>
          <w:u w:val="single"/>
        </w:rPr>
        <w:t>che i cittadini siano informati che la vaccinazione non è obbligatoria</w:t>
      </w:r>
      <w:r>
        <w:rPr>
          <w:rFonts w:cs="Times New Roman" w:ascii="Times New Roman" w:hAnsi="Times New Roman"/>
          <w:i/>
          <w:iCs/>
          <w:sz w:val="24"/>
          <w:szCs w:val="24"/>
        </w:rPr>
        <w:t xml:space="preserve"> e che nessuno può essere sottoposto ad una pressione politica, sociale o di altro genere affinché si vaccini se non desidera di farlo; - </w:t>
      </w:r>
      <w:r>
        <w:rPr>
          <w:rFonts w:cs="Times New Roman" w:ascii="Times New Roman" w:hAnsi="Times New Roman"/>
          <w:b/>
          <w:bCs/>
          <w:i/>
          <w:iCs/>
          <w:sz w:val="24"/>
          <w:szCs w:val="24"/>
          <w:u w:val="single"/>
        </w:rPr>
        <w:t>che nessuno sia discriminato</w:t>
      </w:r>
      <w:r>
        <w:rPr>
          <w:rFonts w:cs="Times New Roman" w:ascii="Times New Roman" w:hAnsi="Times New Roman"/>
          <w:i/>
          <w:iCs/>
          <w:sz w:val="24"/>
          <w:szCs w:val="24"/>
        </w:rPr>
        <w:t xml:space="preserve"> per non essere stato vaccinato a causa di possibili pericoli per la salute </w:t>
      </w:r>
      <w:r>
        <w:rPr>
          <w:rFonts w:cs="Times New Roman" w:ascii="Times New Roman" w:hAnsi="Times New Roman"/>
          <w:b/>
          <w:bCs/>
          <w:i/>
          <w:iCs/>
          <w:sz w:val="24"/>
          <w:szCs w:val="24"/>
          <w:u w:val="single"/>
        </w:rPr>
        <w:t>o perché non vuole farsi vaccinare</w:t>
      </w:r>
      <w:r>
        <w:rPr>
          <w:rFonts w:cs="Times New Roman" w:ascii="Times New Roman" w:hAnsi="Times New Roman"/>
          <w:i/>
          <w:iCs/>
          <w:sz w:val="24"/>
          <w:szCs w:val="24"/>
        </w:rPr>
        <w:t>.</w:t>
      </w:r>
      <w:r>
        <w:rPr>
          <w:rFonts w:cs="Times New Roman" w:ascii="Times New Roman" w:hAnsi="Times New Roman"/>
          <w:sz w:val="24"/>
          <w:szCs w:val="24"/>
        </w:rPr>
        <w:t xml:space="preserve">” </w:t>
      </w:r>
    </w:p>
    <w:p>
      <w:pPr>
        <w:pStyle w:val="Normal"/>
        <w:numPr>
          <w:ilvl w:val="0"/>
          <w:numId w:val="4"/>
        </w:numPr>
        <w:autoSpaceDE w:val="false"/>
        <w:spacing w:lineRule="exact" w:line="480"/>
        <w:jc w:val="both"/>
        <w:rPr>
          <w:rFonts w:ascii="Times New Roman" w:hAnsi="Times New Roman" w:cs="Times New Roman"/>
          <w:sz w:val="24"/>
          <w:szCs w:val="24"/>
        </w:rPr>
      </w:pPr>
      <w:r>
        <w:rPr>
          <w:rFonts w:cs="Times New Roman" w:ascii="Times New Roman" w:hAnsi="Times New Roman"/>
          <w:sz w:val="24"/>
          <w:szCs w:val="24"/>
        </w:rPr>
        <w:t xml:space="preserve">La Costituzione italiana vieta la discriminazione. Infatti, l’art. 3 dispone: </w:t>
      </w:r>
      <w:r>
        <w:rPr>
          <w:rFonts w:cs="Times New Roman" w:ascii="Times New Roman" w:hAnsi="Times New Roman"/>
          <w:i/>
          <w:iCs/>
          <w:sz w:val="24"/>
          <w:szCs w:val="24"/>
        </w:rPr>
        <w:t xml:space="preserve">“Tutti i cittadini hanno pari dignità sociale e sono eguali davanti alla legge, </w:t>
      </w:r>
      <w:r>
        <w:rPr>
          <w:rFonts w:cs="Times New Roman" w:ascii="Times New Roman" w:hAnsi="Times New Roman"/>
          <w:b/>
          <w:bCs/>
          <w:i/>
          <w:iCs/>
          <w:sz w:val="24"/>
          <w:szCs w:val="24"/>
        </w:rPr>
        <w:t>s</w:t>
      </w:r>
      <w:r>
        <w:rPr>
          <w:rFonts w:cs="Times New Roman" w:ascii="Times New Roman" w:hAnsi="Times New Roman"/>
          <w:b/>
          <w:bCs/>
          <w:i/>
          <w:iCs/>
          <w:sz w:val="24"/>
          <w:szCs w:val="24"/>
          <w:u w:val="single"/>
        </w:rPr>
        <w:t>enza distinzione di sesso, di razza, di lingua, di religione; di opinioni politiche, di condizioni personali e sociali</w:t>
      </w:r>
      <w:r>
        <w:rPr>
          <w:rFonts w:cs="Times New Roman" w:ascii="Times New Roman" w:hAnsi="Times New Roman"/>
          <w:i/>
          <w:iCs/>
          <w:sz w:val="24"/>
          <w:szCs w:val="24"/>
        </w:rPr>
        <w:t>.”</w:t>
      </w:r>
      <w:r>
        <w:rPr>
          <w:rFonts w:cs="Times New Roman" w:ascii="Times New Roman" w:hAnsi="Times New Roman"/>
          <w:sz w:val="24"/>
          <w:szCs w:val="24"/>
        </w:rPr>
        <w:t xml:space="preserve"> Di contro, le norme sul green pass obbligatorio per l’accesso ai ristoranti e ad altre attività discriminano tra cittadini in considerazione delle loro condizioni personali sanitarie.</w:t>
      </w:r>
    </w:p>
    <w:p>
      <w:pPr>
        <w:pStyle w:val="Normal"/>
        <w:numPr>
          <w:ilvl w:val="0"/>
          <w:numId w:val="4"/>
        </w:numPr>
        <w:autoSpaceDE w:val="false"/>
        <w:spacing w:lineRule="exact" w:line="480"/>
        <w:jc w:val="both"/>
        <w:rPr>
          <w:rFonts w:ascii="Times New Roman" w:hAnsi="Times New Roman" w:cs="Times New Roman"/>
          <w:sz w:val="24"/>
          <w:szCs w:val="24"/>
        </w:rPr>
      </w:pPr>
      <w:r>
        <w:rPr>
          <w:rFonts w:cs="Times New Roman" w:ascii="Times New Roman" w:hAnsi="Times New Roman"/>
          <w:sz w:val="24"/>
          <w:szCs w:val="24"/>
        </w:rPr>
        <w:t xml:space="preserve">La discriminazione è vietata, inoltre, dall’art. 21 della Carta dei diritti fondamentali dell’Unione Europea: </w:t>
      </w:r>
      <w:r>
        <w:rPr>
          <w:rFonts w:cs="Times New Roman" w:ascii="Times New Roman" w:hAnsi="Times New Roman"/>
          <w:i/>
          <w:iCs/>
          <w:sz w:val="24"/>
          <w:szCs w:val="24"/>
        </w:rPr>
        <w:t>“</w:t>
      </w:r>
      <w:r>
        <w:rPr>
          <w:rFonts w:cs="Times New Roman" w:ascii="Times New Roman" w:hAnsi="Times New Roman"/>
          <w:b/>
          <w:bCs/>
          <w:i/>
          <w:iCs/>
          <w:sz w:val="24"/>
          <w:szCs w:val="24"/>
          <w:u w:val="single"/>
        </w:rPr>
        <w:t>È vietata qualsiasi forma di discriminazione</w:t>
      </w:r>
      <w:r>
        <w:rPr>
          <w:rFonts w:cs="Times New Roman" w:ascii="Times New Roman" w:hAnsi="Times New Roman"/>
          <w:i/>
          <w:iCs/>
          <w:sz w:val="24"/>
          <w:szCs w:val="24"/>
        </w:rPr>
        <w:t xml:space="preserve"> fondata, in particolare, sul sesso, la razza, il colore della pelle o l’origine etnica o sociale, l</w:t>
      </w:r>
      <w:r>
        <w:rPr>
          <w:rFonts w:cs="Times New Roman" w:ascii="Times New Roman" w:hAnsi="Times New Roman"/>
          <w:b/>
          <w:bCs/>
          <w:i/>
          <w:iCs/>
          <w:sz w:val="24"/>
          <w:szCs w:val="24"/>
          <w:u w:val="single"/>
        </w:rPr>
        <w:t>e caratteristiche genetiche</w:t>
      </w:r>
      <w:r>
        <w:rPr>
          <w:rFonts w:cs="Times New Roman" w:ascii="Times New Roman" w:hAnsi="Times New Roman"/>
          <w:i/>
          <w:iCs/>
          <w:sz w:val="24"/>
          <w:szCs w:val="24"/>
        </w:rPr>
        <w:t xml:space="preserve">, la lingua, la religione </w:t>
      </w:r>
      <w:r>
        <w:rPr>
          <w:rFonts w:cs="Times New Roman" w:ascii="Times New Roman" w:hAnsi="Times New Roman"/>
          <w:b/>
          <w:bCs/>
          <w:i/>
          <w:iCs/>
          <w:sz w:val="24"/>
          <w:szCs w:val="24"/>
          <w:u w:val="single"/>
        </w:rPr>
        <w:t>o le convinzioni personali</w:t>
      </w:r>
      <w:r>
        <w:rPr>
          <w:rFonts w:cs="Times New Roman" w:ascii="Times New Roman" w:hAnsi="Times New Roman"/>
          <w:i/>
          <w:iCs/>
          <w:sz w:val="24"/>
          <w:szCs w:val="24"/>
        </w:rPr>
        <w:t>, le opinioni politiche o di qualsiasi altra natura, l’appartenenza ad una minoranza nazionale, il patrimonio, la nascita, gli handicap, l’età o le tendenze sessuali.</w:t>
      </w:r>
      <w:r>
        <w:rPr>
          <w:rFonts w:cs="Times New Roman" w:ascii="Times New Roman" w:hAnsi="Times New Roman"/>
          <w:sz w:val="24"/>
          <w:szCs w:val="24"/>
        </w:rPr>
        <w:t>”</w:t>
      </w:r>
    </w:p>
    <w:p>
      <w:pPr>
        <w:pStyle w:val="Normal"/>
        <w:numPr>
          <w:ilvl w:val="0"/>
          <w:numId w:val="4"/>
        </w:numPr>
        <w:autoSpaceDE w:val="false"/>
        <w:spacing w:lineRule="exact" w:line="480"/>
        <w:jc w:val="both"/>
        <w:rPr>
          <w:rFonts w:ascii="Times New Roman" w:hAnsi="Times New Roman" w:cs="Times New Roman"/>
          <w:sz w:val="24"/>
          <w:szCs w:val="24"/>
        </w:rPr>
      </w:pPr>
      <w:r>
        <w:rPr>
          <w:rFonts w:cs="Times New Roman" w:ascii="Times New Roman" w:hAnsi="Times New Roman"/>
          <w:sz w:val="24"/>
          <w:szCs w:val="24"/>
        </w:rPr>
        <w:t xml:space="preserve">La CEDU (Convenzione Europea dei Diritti dell’Uomo) vieta anch’essa la discriminazione all’art. 14: </w:t>
      </w:r>
      <w:r>
        <w:rPr>
          <w:rFonts w:cs="Times New Roman" w:ascii="Times New Roman" w:hAnsi="Times New Roman"/>
          <w:i/>
          <w:iCs/>
          <w:sz w:val="24"/>
          <w:szCs w:val="24"/>
        </w:rPr>
        <w:t xml:space="preserve">“Il godimento dei diritti e delle libertà riconosciuti nella presente Convenzione deve essere assicurato </w:t>
      </w:r>
      <w:r>
        <w:rPr>
          <w:rFonts w:cs="Times New Roman" w:ascii="Times New Roman" w:hAnsi="Times New Roman"/>
          <w:b/>
          <w:bCs/>
          <w:i/>
          <w:iCs/>
          <w:sz w:val="24"/>
          <w:szCs w:val="24"/>
          <w:u w:val="single"/>
        </w:rPr>
        <w:t>senza nessuna discriminazione, in particolare quelle fondate sul sesso, la razza, il colore, la lingua, la religione, le opinioni politiche o quelle di altro genere</w:t>
      </w:r>
      <w:r>
        <w:rPr>
          <w:rFonts w:cs="Times New Roman" w:ascii="Times New Roman" w:hAnsi="Times New Roman"/>
          <w:i/>
          <w:iCs/>
          <w:sz w:val="24"/>
          <w:szCs w:val="24"/>
        </w:rPr>
        <w:t>, l’origine nazionale o sociale, l’appartenenza a una minoranza nazionale, la ricchezza, la nascita od ogni altra condizione</w:t>
      </w:r>
      <w:r>
        <w:rPr>
          <w:rFonts w:cs="Times New Roman" w:ascii="Times New Roman" w:hAnsi="Times New Roman"/>
          <w:sz w:val="24"/>
          <w:szCs w:val="24"/>
        </w:rPr>
        <w:t>.”</w:t>
      </w:r>
    </w:p>
    <w:p>
      <w:pPr>
        <w:pStyle w:val="Normal"/>
        <w:numPr>
          <w:ilvl w:val="0"/>
          <w:numId w:val="4"/>
        </w:numPr>
        <w:autoSpaceDE w:val="false"/>
        <w:spacing w:lineRule="exact" w:line="480"/>
        <w:jc w:val="both"/>
        <w:rPr>
          <w:rFonts w:ascii="Times New Roman" w:hAnsi="Times New Roman" w:cs="Times New Roman"/>
          <w:sz w:val="24"/>
          <w:szCs w:val="24"/>
        </w:rPr>
      </w:pPr>
      <w:r>
        <w:rPr>
          <w:rFonts w:cs="Times New Roman" w:ascii="Times New Roman" w:hAnsi="Times New Roman"/>
          <w:sz w:val="24"/>
          <w:szCs w:val="24"/>
        </w:rPr>
        <w:t xml:space="preserve">Anche la Dichiarazione Universale dei Diritti dell’Uomo vieta ogni discriminazione all’art. 2: </w:t>
      </w:r>
      <w:r>
        <w:rPr>
          <w:rFonts w:cs="Times New Roman" w:ascii="Times New Roman" w:hAnsi="Times New Roman"/>
          <w:i/>
          <w:iCs/>
          <w:sz w:val="24"/>
          <w:szCs w:val="24"/>
        </w:rPr>
        <w:t xml:space="preserve">“Ad ogni individuo spettano tutti i diritti e tutte le libertà enunciate nella presente Dichiarazione, </w:t>
      </w:r>
      <w:r>
        <w:rPr>
          <w:rFonts w:cs="Times New Roman" w:ascii="Times New Roman" w:hAnsi="Times New Roman"/>
          <w:b/>
          <w:bCs/>
          <w:i/>
          <w:iCs/>
          <w:sz w:val="24"/>
          <w:szCs w:val="24"/>
          <w:u w:val="single"/>
        </w:rPr>
        <w:t>senza distinzione alcuna, per ragioni di razza, di colore, di sesso, di lingua, di religione, di opinione politica o di altro genere, di origine nazionale o sociale, di ricchezza, di nascita o di altra condizione</w:t>
      </w:r>
      <w:r>
        <w:rPr>
          <w:rFonts w:cs="Times New Roman" w:ascii="Times New Roman" w:hAnsi="Times New Roman"/>
          <w:i/>
          <w:iCs/>
          <w:sz w:val="24"/>
          <w:szCs w:val="24"/>
        </w:rPr>
        <w:t>.</w:t>
      </w:r>
      <w:r>
        <w:rPr>
          <w:rFonts w:cs="Times New Roman" w:ascii="Times New Roman" w:hAnsi="Times New Roman"/>
          <w:sz w:val="24"/>
          <w:szCs w:val="24"/>
        </w:rPr>
        <w:t>”</w:t>
      </w:r>
    </w:p>
    <w:p>
      <w:pPr>
        <w:pStyle w:val="Normal"/>
        <w:numPr>
          <w:ilvl w:val="0"/>
          <w:numId w:val="4"/>
        </w:numPr>
        <w:autoSpaceDE w:val="false"/>
        <w:spacing w:lineRule="exact" w:line="480"/>
        <w:jc w:val="both"/>
        <w:rPr>
          <w:rFonts w:ascii="Times New Roman" w:hAnsi="Times New Roman" w:cs="Times New Roman"/>
          <w:sz w:val="24"/>
          <w:szCs w:val="24"/>
        </w:rPr>
      </w:pPr>
      <w:r>
        <w:rPr>
          <w:rFonts w:cs="Times New Roman" w:ascii="Times New Roman" w:hAnsi="Times New Roman"/>
          <w:sz w:val="24"/>
          <w:szCs w:val="24"/>
        </w:rPr>
        <w:t xml:space="preserve">Pertanto, chiunque impedisca l’ingresso in un ristorante, una palestra, un cinema, una piscina a chi non sia provvisto del “green pass”, </w:t>
      </w:r>
      <w:r>
        <w:rPr>
          <w:rFonts w:cs="Times New Roman" w:ascii="Times New Roman" w:hAnsi="Times New Roman"/>
          <w:b/>
          <w:bCs/>
          <w:sz w:val="24"/>
          <w:szCs w:val="24"/>
          <w:u w:val="single"/>
        </w:rPr>
        <w:t>anche un agente di Polizia, mediante il regime sanzionatorio o, come vedremo in seguito, qualunque autorità nazionale che non dovesse riconoscere il primato del diritto internazionale su quello interno</w:t>
      </w:r>
      <w:r>
        <w:rPr>
          <w:rFonts w:cs="Times New Roman" w:ascii="Times New Roman" w:hAnsi="Times New Roman"/>
          <w:sz w:val="24"/>
          <w:szCs w:val="24"/>
        </w:rPr>
        <w:t xml:space="preserve">, sta commettendo il reato di </w:t>
      </w:r>
      <w:r>
        <w:rPr>
          <w:rFonts w:cs="Times New Roman" w:ascii="Times New Roman" w:hAnsi="Times New Roman"/>
          <w:b/>
          <w:bCs/>
          <w:sz w:val="24"/>
          <w:szCs w:val="24"/>
          <w:u w:val="single"/>
        </w:rPr>
        <w:t>violenza privata (art. 610 c.p.)</w:t>
      </w:r>
      <w:r>
        <w:rPr>
          <w:rFonts w:cs="Times New Roman" w:ascii="Times New Roman" w:hAnsi="Times New Roman"/>
          <w:sz w:val="24"/>
          <w:szCs w:val="24"/>
        </w:rPr>
        <w:t>: “Chiunque, con violenza o minaccia, costringe altri a fare, tollerare od omettere qualche cosa è punito con la reclusione fino a quattro anni.”</w:t>
      </w:r>
    </w:p>
    <w:p>
      <w:pPr>
        <w:pStyle w:val="Normal"/>
        <w:numPr>
          <w:ilvl w:val="0"/>
          <w:numId w:val="4"/>
        </w:numPr>
        <w:autoSpaceDE w:val="false"/>
        <w:spacing w:lineRule="exact" w:line="480"/>
        <w:jc w:val="both"/>
        <w:rPr>
          <w:rFonts w:ascii="Times New Roman" w:hAnsi="Times New Roman" w:cs="Times New Roman"/>
          <w:sz w:val="24"/>
          <w:szCs w:val="24"/>
        </w:rPr>
      </w:pPr>
      <w:r>
        <w:rPr>
          <w:rFonts w:cs="Times New Roman" w:ascii="Times New Roman" w:hAnsi="Times New Roman"/>
          <w:sz w:val="24"/>
          <w:szCs w:val="24"/>
        </w:rPr>
        <w:t xml:space="preserve">Inoltre, in base all’art. 187 del RD 635/1940 (Regolamento di Esecuzione del Testo Unico delle Leggi di Pubblica Sicurezza) </w:t>
      </w:r>
      <w:r>
        <w:rPr>
          <w:rFonts w:cs="Times New Roman" w:ascii="Times New Roman" w:hAnsi="Times New Roman"/>
          <w:b/>
          <w:bCs/>
          <w:sz w:val="24"/>
          <w:szCs w:val="24"/>
          <w:u w:val="single"/>
        </w:rPr>
        <w:t>gli esercenti non possono senza un legittimo motivo rifiutare le prestazioni del proprio esercizio a chiunque le domandi e ne corrisponda il prezzo</w:t>
      </w:r>
      <w:r>
        <w:rPr>
          <w:rFonts w:cs="Times New Roman" w:ascii="Times New Roman" w:hAnsi="Times New Roman"/>
          <w:sz w:val="24"/>
          <w:szCs w:val="24"/>
        </w:rPr>
        <w:t xml:space="preserve">. Le norme sul “green pass”, in quanto illegali e inapplicabili, non costituiscono legittimo motivo per il rifiuto delle prestazioni del gestore di un pubblico esercizio e quindi per contestare un illecito amministrativo a chi non le rispetta. </w:t>
      </w:r>
    </w:p>
    <w:p>
      <w:pPr>
        <w:pStyle w:val="Normal"/>
        <w:numPr>
          <w:ilvl w:val="0"/>
          <w:numId w:val="2"/>
        </w:numPr>
        <w:autoSpaceDE w:val="false"/>
        <w:spacing w:lineRule="exact" w:line="480"/>
        <w:jc w:val="both"/>
        <w:rPr/>
      </w:pPr>
      <w:r>
        <w:rPr>
          <w:rFonts w:cs="Times New Roman" w:ascii="Times New Roman" w:hAnsi="Times New Roman"/>
          <w:sz w:val="24"/>
          <w:szCs w:val="24"/>
        </w:rPr>
        <w:t xml:space="preserve">Secondo la </w:t>
      </w:r>
      <w:r>
        <w:rPr>
          <w:rFonts w:cs="Times New Roman" w:ascii="Times New Roman" w:hAnsi="Times New Roman"/>
          <w:b/>
          <w:bCs/>
          <w:sz w:val="24"/>
          <w:szCs w:val="24"/>
        </w:rPr>
        <w:t xml:space="preserve">sentenza della </w:t>
      </w:r>
      <w:bookmarkStart w:id="0" w:name="_Hlk71190174"/>
      <w:r>
        <w:rPr>
          <w:rFonts w:cs="Times New Roman" w:ascii="Times New Roman" w:hAnsi="Times New Roman"/>
          <w:b/>
          <w:bCs/>
          <w:sz w:val="24"/>
          <w:szCs w:val="24"/>
        </w:rPr>
        <w:t xml:space="preserve">Corte di Giustizia dell’Unione Europea 4.12.2018 C-378/17 </w:t>
      </w:r>
      <w:r>
        <w:rPr>
          <w:rFonts w:cs="Times New Roman" w:ascii="Times New Roman" w:hAnsi="Times New Roman"/>
          <w:b/>
          <w:bCs/>
          <w:i/>
          <w:iCs/>
          <w:sz w:val="24"/>
          <w:szCs w:val="24"/>
        </w:rPr>
        <w:t>Minister for Justice and Equality</w:t>
      </w:r>
      <w:bookmarkEnd w:id="0"/>
      <w:r>
        <w:rPr>
          <w:rFonts w:cs="Times New Roman" w:ascii="Times New Roman" w:hAnsi="Times New Roman"/>
          <w:sz w:val="24"/>
          <w:szCs w:val="24"/>
        </w:rPr>
        <w:t>:</w:t>
      </w:r>
      <w:r>
        <w:rPr>
          <w:rFonts w:cs="Times New Roman" w:ascii="Times New Roman" w:hAnsi="Times New Roman"/>
          <w:b/>
          <w:bCs/>
          <w:sz w:val="24"/>
          <w:szCs w:val="24"/>
        </w:rPr>
        <w:t xml:space="preserve"> </w:t>
      </w:r>
      <w:r>
        <w:rPr>
          <w:rFonts w:cs="Times New Roman" w:ascii="Times New Roman" w:hAnsi="Times New Roman"/>
          <w:i/>
          <w:iCs/>
          <w:sz w:val="24"/>
          <w:szCs w:val="24"/>
        </w:rPr>
        <w:t xml:space="preserve">“È </w:t>
      </w:r>
      <w:r>
        <w:rPr>
          <w:rFonts w:cs="Times New Roman" w:ascii="Times New Roman" w:hAnsi="Times New Roman"/>
          <w:b/>
          <w:bCs/>
          <w:i/>
          <w:iCs/>
          <w:sz w:val="24"/>
          <w:szCs w:val="24"/>
        </w:rPr>
        <w:t>incompatibile con le esigenze inerenti alla natura stessa del diritto dell’Unione qualsiasi disposizione facente parte dell’ordinamento giuridico nazionale o qualsiasi prassi, legislativa, amministrativa o giudiziaria, la quale porti ad una riduzione della concreta efficacia del diritto dell’Unione</w:t>
      </w:r>
      <w:r>
        <w:rPr>
          <w:rFonts w:cs="Times New Roman" w:ascii="Times New Roman" w:hAnsi="Times New Roman"/>
          <w:i/>
          <w:iCs/>
          <w:sz w:val="24"/>
          <w:szCs w:val="24"/>
        </w:rPr>
        <w:t xml:space="preserve"> per il fatto che sia negato al giudice, competente ad applicare questo diritto, il potere di fare, all’atto stesso di tale applicazione, tutto quanto è necessario per </w:t>
      </w:r>
      <w:r>
        <w:rPr>
          <w:rFonts w:cs="Times New Roman" w:ascii="Times New Roman" w:hAnsi="Times New Roman"/>
          <w:b/>
          <w:bCs/>
          <w:i/>
          <w:iCs/>
          <w:sz w:val="24"/>
          <w:szCs w:val="24"/>
        </w:rPr>
        <w:t>disapplicare le disposizioni legislative nazionali che eventualmente ostino alla piena efficacia delle norme direttamente applicabili dell’Unione</w:t>
      </w:r>
      <w:r>
        <w:rPr>
          <w:rFonts w:cs="Times New Roman" w:ascii="Times New Roman" w:hAnsi="Times New Roman"/>
          <w:i/>
          <w:iCs/>
          <w:sz w:val="24"/>
          <w:szCs w:val="24"/>
        </w:rPr>
        <w:t xml:space="preserve"> (v., in tal senso, sentenze del </w:t>
      </w:r>
      <w:bookmarkStart w:id="1" w:name="_Hlk71190267"/>
      <w:r>
        <w:rPr>
          <w:rFonts w:cs="Times New Roman" w:ascii="Times New Roman" w:hAnsi="Times New Roman"/>
          <w:i/>
          <w:iCs/>
          <w:sz w:val="24"/>
          <w:szCs w:val="24"/>
        </w:rPr>
        <w:t xml:space="preserve">9 marzo 1978, </w:t>
      </w:r>
      <w:r>
        <w:rPr>
          <w:rFonts w:cs="Times New Roman" w:ascii="Times New Roman" w:hAnsi="Times New Roman"/>
          <w:sz w:val="24"/>
          <w:szCs w:val="24"/>
        </w:rPr>
        <w:t>Simmenthal</w:t>
      </w:r>
      <w:r>
        <w:rPr>
          <w:rFonts w:cs="Times New Roman" w:ascii="Times New Roman" w:hAnsi="Times New Roman"/>
          <w:i/>
          <w:iCs/>
          <w:sz w:val="24"/>
          <w:szCs w:val="24"/>
        </w:rPr>
        <w:t xml:space="preserve">, 106/77, EU:C:1978:49, punto 22; del 19 giugno 1990, </w:t>
      </w:r>
      <w:r>
        <w:rPr>
          <w:rFonts w:cs="Times New Roman" w:ascii="Times New Roman" w:hAnsi="Times New Roman"/>
          <w:sz w:val="24"/>
          <w:szCs w:val="24"/>
        </w:rPr>
        <w:t>Factortame e a.</w:t>
      </w:r>
      <w:r>
        <w:rPr>
          <w:rFonts w:cs="Times New Roman" w:ascii="Times New Roman" w:hAnsi="Times New Roman"/>
          <w:i/>
          <w:iCs/>
          <w:sz w:val="24"/>
          <w:szCs w:val="24"/>
        </w:rPr>
        <w:t xml:space="preserve">, C-213/89, EU:C:1990:257, punto 20, nonché dell’8 settembre 2010, </w:t>
      </w:r>
      <w:r>
        <w:rPr>
          <w:rFonts w:cs="Times New Roman" w:ascii="Times New Roman" w:hAnsi="Times New Roman"/>
          <w:sz w:val="24"/>
          <w:szCs w:val="24"/>
        </w:rPr>
        <w:t>Winner Wetten</w:t>
      </w:r>
      <w:r>
        <w:rPr>
          <w:rFonts w:cs="Times New Roman" w:ascii="Times New Roman" w:hAnsi="Times New Roman"/>
          <w:i/>
          <w:iCs/>
          <w:sz w:val="24"/>
          <w:szCs w:val="24"/>
        </w:rPr>
        <w:t>, C-409/06, EU:C:2010:503, punto 56)</w:t>
      </w:r>
      <w:bookmarkEnd w:id="1"/>
      <w:r>
        <w:rPr>
          <w:rFonts w:cs="Times New Roman" w:ascii="Times New Roman" w:hAnsi="Times New Roman"/>
          <w:i/>
          <w:iCs/>
          <w:sz w:val="24"/>
          <w:szCs w:val="24"/>
        </w:rPr>
        <w:t>.”</w:t>
      </w:r>
      <w:r>
        <w:rPr>
          <w:rFonts w:cs="Times New Roman" w:ascii="Times New Roman" w:hAnsi="Times New Roman"/>
          <w:sz w:val="24"/>
          <w:szCs w:val="24"/>
        </w:rPr>
        <w:t xml:space="preserve"> Pertanto, i giudici e qualsiasi autorità, anche amministrativa, italiana sono tenuti a disapplicare le norme interne incompatibili con il diritto comunitario che prevale sul diritto nazionale.</w:t>
      </w:r>
    </w:p>
    <w:p>
      <w:pPr>
        <w:pStyle w:val="ListParagraph"/>
        <w:autoSpaceDE w:val="false"/>
        <w:spacing w:lineRule="exact" w:line="480" w:before="0" w:after="0"/>
        <w:ind w:left="708" w:right="0" w:hanging="0"/>
        <w:jc w:val="both"/>
        <w:rPr>
          <w:rFonts w:ascii="Times New Roman" w:hAnsi="Times New Roman" w:cs="Times New Roman"/>
          <w:b/>
          <w:b/>
          <w:bCs/>
          <w:sz w:val="24"/>
          <w:szCs w:val="24"/>
        </w:rPr>
      </w:pPr>
      <w:r>
        <w:rPr>
          <w:rFonts w:cs="Times New Roman" w:ascii="Times New Roman" w:hAnsi="Times New Roman"/>
          <w:b/>
          <w:bCs/>
          <w:sz w:val="24"/>
          <w:szCs w:val="24"/>
        </w:rPr>
        <w:t xml:space="preserve">Pertanto, il giudice civile e qualsiasi autorità, anche amministrativa, italiana e quindi anche questa a cui si sta ricorrendo sono tenuti semplicemente a disapplicare le norme interne incompatibili con il diritto comunitario che ha sempre prevalenza. </w:t>
      </w:r>
    </w:p>
    <w:p>
      <w:pPr>
        <w:pStyle w:val="Normal"/>
        <w:numPr>
          <w:ilvl w:val="0"/>
          <w:numId w:val="2"/>
        </w:numPr>
        <w:autoSpaceDE w:val="false"/>
        <w:spacing w:lineRule="exact" w:line="480"/>
        <w:jc w:val="both"/>
        <w:rPr>
          <w:rFonts w:ascii="Times New Roman" w:hAnsi="Times New Roman" w:cs="Times New Roman"/>
          <w:b/>
          <w:b/>
          <w:bCs/>
          <w:sz w:val="24"/>
          <w:szCs w:val="24"/>
        </w:rPr>
      </w:pPr>
      <w:r>
        <w:rPr>
          <w:rFonts w:cs="Times New Roman" w:ascii="Times New Roman" w:hAnsi="Times New Roman"/>
          <w:b/>
          <w:bCs/>
          <w:sz w:val="24"/>
          <w:szCs w:val="24"/>
        </w:rPr>
        <w:t>Illegittimo trattamento dei dati sanitari riservati</w:t>
      </w:r>
    </w:p>
    <w:p>
      <w:pPr>
        <w:pStyle w:val="Normal"/>
        <w:autoSpaceDE w:val="false"/>
        <w:spacing w:lineRule="exact" w:line="480"/>
        <w:ind w:left="708" w:hanging="0"/>
        <w:jc w:val="both"/>
        <w:rPr>
          <w:rFonts w:ascii="Times New Roman" w:hAnsi="Times New Roman" w:cs="Times New Roman"/>
          <w:sz w:val="24"/>
          <w:szCs w:val="24"/>
        </w:rPr>
      </w:pPr>
      <w:r>
        <w:rPr>
          <w:rFonts w:cs="Times New Roman" w:ascii="Times New Roman" w:hAnsi="Times New Roman"/>
          <w:sz w:val="24"/>
          <w:szCs w:val="24"/>
        </w:rPr>
        <w:t xml:space="preserve">Si rappresenta anche come gli agenti accertatori non siano titolati al trattamento dei dati sanitari dei clienti di un esercizio commerciale, il DL alla base della sanzione amministrativa (e il DPCM del 17.06.2021) ha affidato tale compito solo ai titolari dell'esercizio, i quali, oltretutto, per esercitare le funzioni di verifica dei dati personali devono necessariamente mettere a disposizione dei clienti, cosa che non è avvenuta, la modulistica concernente il trattamento dei dati personali. </w:t>
      </w:r>
    </w:p>
    <w:p>
      <w:pPr>
        <w:pStyle w:val="Normal"/>
        <w:autoSpaceDE w:val="false"/>
        <w:spacing w:lineRule="exact" w:line="480"/>
        <w:ind w:left="708" w:hanging="0"/>
        <w:jc w:val="both"/>
        <w:rPr/>
      </w:pPr>
      <w:r>
        <w:rPr>
          <w:rFonts w:cs="Times New Roman" w:ascii="Times New Roman" w:hAnsi="Times New Roman"/>
          <w:sz w:val="24"/>
          <w:szCs w:val="24"/>
        </w:rPr>
        <w:t>I dati sanitari dei cittadini non possono essere trattati normalmente dalle forze di polizia a meno che non s</w:t>
      </w:r>
      <w:r>
        <w:rPr>
          <w:rFonts w:cs="Times New Roman" w:ascii="Times New Roman" w:hAnsi="Times New Roman"/>
          <w:sz w:val="24"/>
          <w:szCs w:val="24"/>
        </w:rPr>
        <w:t>ti</w:t>
      </w:r>
      <w:r>
        <w:rPr>
          <w:rFonts w:cs="Times New Roman" w:ascii="Times New Roman" w:hAnsi="Times New Roman"/>
          <w:sz w:val="24"/>
          <w:szCs w:val="24"/>
        </w:rPr>
        <w:t xml:space="preserve">ano svolgendo funzioni di polizia giudiziaria nell’ambito di un procedimento penale, giammai nel caso dell’attività di polizia amministrativa. </w:t>
      </w:r>
    </w:p>
    <w:p>
      <w:pPr>
        <w:pStyle w:val="Normal"/>
        <w:numPr>
          <w:ilvl w:val="0"/>
          <w:numId w:val="2"/>
        </w:numPr>
        <w:autoSpaceDE w:val="false"/>
        <w:spacing w:lineRule="exact" w:line="480"/>
        <w:jc w:val="both"/>
        <w:rPr>
          <w:rFonts w:ascii="Times New Roman" w:hAnsi="Times New Roman" w:cs="Times New Roman"/>
          <w:sz w:val="24"/>
          <w:szCs w:val="24"/>
        </w:rPr>
      </w:pPr>
      <w:r>
        <w:rPr>
          <w:rFonts w:cs="Times New Roman" w:ascii="Times New Roman" w:hAnsi="Times New Roman"/>
          <w:b/>
          <w:bCs/>
          <w:sz w:val="24"/>
          <w:szCs w:val="24"/>
        </w:rPr>
        <w:t xml:space="preserve">L’illegittimità della dichiarazione dello stato di emergenza </w:t>
      </w:r>
    </w:p>
    <w:p>
      <w:pPr>
        <w:pStyle w:val="Normal"/>
        <w:autoSpaceDE w:val="false"/>
        <w:spacing w:lineRule="exact" w:line="480"/>
        <w:ind w:left="708" w:hanging="0"/>
        <w:jc w:val="both"/>
        <w:rPr>
          <w:rFonts w:ascii="Times New Roman" w:hAnsi="Times New Roman" w:cs="Times New Roman"/>
          <w:sz w:val="24"/>
          <w:szCs w:val="24"/>
        </w:rPr>
      </w:pPr>
      <w:r>
        <w:rPr>
          <w:rFonts w:cs="Times New Roman" w:ascii="Times New Roman" w:hAnsi="Times New Roman"/>
          <w:sz w:val="24"/>
          <w:szCs w:val="24"/>
        </w:rPr>
        <w:t xml:space="preserve">Gli interventi del governo e del Presidente del Consiglio dei ministri, anche questa del marchio verde, trovano il loro presunto fondamento nella dichiarazione dello stato di emergenza del 31 gennaio 2020 e le successive proroghe dello stesso. Lo strumento in questione è stato evidentemente abusato dal governo che, peraltro, l’ha applicato al di fuori dei limiti previsti dalla normativa di protezione civile. </w:t>
      </w:r>
    </w:p>
    <w:p>
      <w:pPr>
        <w:pStyle w:val="Normal"/>
        <w:autoSpaceDE w:val="false"/>
        <w:spacing w:lineRule="exact" w:line="480"/>
        <w:ind w:left="708" w:hanging="0"/>
        <w:jc w:val="both"/>
        <w:rPr>
          <w:rFonts w:ascii="Times New Roman" w:hAnsi="Times New Roman" w:cs="Times New Roman"/>
          <w:sz w:val="24"/>
          <w:szCs w:val="24"/>
        </w:rPr>
      </w:pPr>
      <w:r>
        <w:rPr>
          <w:rFonts w:cs="Times New Roman" w:ascii="Times New Roman" w:hAnsi="Times New Roman"/>
          <w:sz w:val="24"/>
          <w:szCs w:val="24"/>
        </w:rPr>
        <w:t xml:space="preserve">Anzitutto l’intervento della protezione civile è previsto dalla norma in caso di calamità naturali. Epidemia e pandemia non costituiscono ai fini legislativi calamità naturali e non ricadono nemmeno, come sembra ovvio, nell’ambito di competenza del Dipartimento della Protezione Civile, bensì in quello del Ministro della Salute. In proposito la norma applicabile è l’art. 32 della Legge 833/1978 che prevede in materia sanitaria un potere di ordinanza contingibile e urgente del Ministro della Salute. Detto potere è stato più volte esercitato in occasione di epidemie e pandemie ed è perfettamente idoneo alla gestione di ogni emergenza sanitaria del genere. </w:t>
      </w:r>
    </w:p>
    <w:p>
      <w:pPr>
        <w:pStyle w:val="Normal"/>
        <w:autoSpaceDE w:val="false"/>
        <w:spacing w:lineRule="exact" w:line="480"/>
        <w:ind w:left="708" w:hanging="0"/>
        <w:jc w:val="both"/>
        <w:rPr>
          <w:rFonts w:ascii="Times New Roman" w:hAnsi="Times New Roman" w:cs="Times New Roman"/>
          <w:sz w:val="24"/>
          <w:szCs w:val="24"/>
        </w:rPr>
      </w:pPr>
      <w:r>
        <w:rPr>
          <w:rFonts w:cs="Times New Roman" w:ascii="Times New Roman" w:hAnsi="Times New Roman"/>
          <w:sz w:val="24"/>
          <w:szCs w:val="24"/>
        </w:rPr>
        <w:t xml:space="preserve">Pertanto, i poteri che il governo ha inteso abusivamente attribuire al Presidente del Consiglio esulano completamente dagli scopi e dalle attribuzioni della protezione civile ed invadono le competenze del Ministro della Salute le cui competenze sono limitate dai principi consolidati in materia di ordinanze contingibili e urgenti che impediscono di adottare siffatte ordinanze in deroga o in violazione dei diritti fondamentali costituzionali che sono, appunto, inviolabili perché non vi è alcun provvedimento, legislativo o amministrativo che possa disporne la limitazione o, come nel caso in esame, l’annullamento. Gli atti del governo, infatti, hanno evidente natura criminosa poiché integrano il reato di attentato alla costituzione, reato che invitiamo il signor Prefetto a voler segnalare alla competente Procura della Repubblica in ottemperanza al dovere di denuncia che incombe ad ogni pubblico ufficiale. </w:t>
      </w:r>
    </w:p>
    <w:p>
      <w:pPr>
        <w:pStyle w:val="Normal"/>
        <w:autoSpaceDE w:val="false"/>
        <w:spacing w:lineRule="exact" w:line="480"/>
        <w:ind w:left="708" w:hanging="0"/>
        <w:jc w:val="both"/>
        <w:rPr>
          <w:rFonts w:ascii="Times New Roman" w:hAnsi="Times New Roman" w:cs="Times New Roman"/>
          <w:sz w:val="24"/>
          <w:szCs w:val="24"/>
        </w:rPr>
      </w:pPr>
      <w:r>
        <w:rPr>
          <w:rFonts w:cs="Times New Roman" w:ascii="Times New Roman" w:hAnsi="Times New Roman"/>
          <w:sz w:val="24"/>
          <w:szCs w:val="24"/>
        </w:rPr>
        <w:t xml:space="preserve">Inoltre, la dichiarazione dello stato di emergenza è stata attuata da parte del governo in aperta violazione dei presupposti di cui all’art. 24 d.lgs. 1/2018 (codice della protezione civile). Infatti, la norma in questione prevede: </w:t>
      </w:r>
      <w:r>
        <w:rPr>
          <w:rFonts w:cs="Times New Roman" w:ascii="Times New Roman" w:hAnsi="Times New Roman"/>
          <w:i/>
          <w:iCs/>
          <w:sz w:val="24"/>
          <w:szCs w:val="24"/>
        </w:rPr>
        <w:t xml:space="preserve">“Al verificarsi degli eventi che, </w:t>
      </w:r>
      <w:r>
        <w:rPr>
          <w:rFonts w:cs="Times New Roman" w:ascii="Times New Roman" w:hAnsi="Times New Roman"/>
          <w:i/>
          <w:iCs/>
          <w:sz w:val="24"/>
          <w:szCs w:val="24"/>
          <w:u w:val="single"/>
        </w:rPr>
        <w:t>a seguito di una valutazione speditiva svolta dal Dipartimento della protezione civile sulla base dei dati e delle informazioni disponibili e in raccordo con le Regioni e Province autonome interessate</w:t>
      </w:r>
      <w:r>
        <w:rPr>
          <w:rFonts w:cs="Times New Roman" w:ascii="Times New Roman" w:hAnsi="Times New Roman"/>
          <w:i/>
          <w:iCs/>
          <w:sz w:val="24"/>
          <w:szCs w:val="24"/>
        </w:rPr>
        <w:t xml:space="preserve">, presentano i requisiti di cui all'articolo 7, comma 1, lettera c) [eventi calamitosi di rilievo nazionale], … il Consiglio dei ministri, su proposta del Presidente del Consiglio dei ministri, formulata anche </w:t>
      </w:r>
      <w:r>
        <w:rPr>
          <w:rFonts w:cs="Times New Roman" w:ascii="Times New Roman" w:hAnsi="Times New Roman"/>
          <w:i/>
          <w:iCs/>
          <w:sz w:val="24"/>
          <w:szCs w:val="24"/>
          <w:u w:val="single"/>
        </w:rPr>
        <w:t>su richiesta del Presidente della Regione o Provincia autonoma interessata e comunque acquisitane l'intesa</w:t>
      </w:r>
      <w:r>
        <w:rPr>
          <w:rFonts w:cs="Times New Roman" w:ascii="Times New Roman" w:hAnsi="Times New Roman"/>
          <w:i/>
          <w:iCs/>
          <w:sz w:val="24"/>
          <w:szCs w:val="24"/>
        </w:rPr>
        <w:t>, delibera lo stato d'emergenza di rilievo nazionale, fissandone la durata e determinandone l'estensione territoriale con riferimento alla natura e alla qualità degli eventi …”</w:t>
      </w:r>
      <w:r>
        <w:rPr>
          <w:rFonts w:cs="Times New Roman" w:ascii="Times New Roman" w:hAnsi="Times New Roman"/>
          <w:sz w:val="24"/>
          <w:szCs w:val="24"/>
        </w:rPr>
        <w:t xml:space="preserve"> </w:t>
      </w:r>
    </w:p>
    <w:p>
      <w:pPr>
        <w:pStyle w:val="Normal"/>
        <w:autoSpaceDE w:val="false"/>
        <w:spacing w:lineRule="exact" w:line="480"/>
        <w:ind w:left="708" w:hanging="0"/>
        <w:jc w:val="both"/>
        <w:rPr>
          <w:rFonts w:ascii="Times New Roman" w:hAnsi="Times New Roman" w:cs="Times New Roman"/>
          <w:b/>
          <w:b/>
          <w:bCs/>
          <w:sz w:val="24"/>
          <w:szCs w:val="24"/>
        </w:rPr>
      </w:pPr>
      <w:r>
        <w:rPr>
          <w:rFonts w:cs="Times New Roman" w:ascii="Times New Roman" w:hAnsi="Times New Roman"/>
          <w:sz w:val="24"/>
          <w:szCs w:val="24"/>
        </w:rPr>
        <w:t>Nel caso in esame sono mancate sia la “valutazione speditiva”, sia il “raccordo con le Regioni e Province interessate” sia, infine, la richiesta del Presidente della regione o della provincia autonoma. Il provvedimento di dichiarazione dello stato di emergenza è stato, quindi adottato in spregio della normativa in materia e con grave abuso delle facoltà riconosciute al presidente del Consiglio dei ministri dal d.lgs. 1/2018. Infatti, la dichiarazione dello stato di emergenza in caso di calamità naturali, anche per le ipotesi di disgrazie di rilevanza nazionale, deve necessariamente provenire dalle amministrazioni locali che, per il loro contatto con il territorio, sono le uniche a poter giudicare della effettiva necessità di un intervento del sistema della protezione civile. Al contrario, il governo ha agito in modo esattamente opposto a quanto voluto dalla disciplina del d.lgs. 1/2018 imponendo l’emergenza dall’alto con un provvedimento quadro assunto prima ed a prescindere dalla verificazione di qualsiasi situazione di allarme. Occorre ricordare, infatti, che la dichiarazione dello stato di emergenza risale al 31 gennaio 2020 quando il governo aveva dichiarato che non vi era alcun rischio di contagio e che comunque la Repubblica Italiana era perfettamente preparata per fare fronte a qualsiasi evento epidemico o pandemico. Il provvedimento del 31.01.2020 e le sue successive proroghe si appalesa, pertanto, per ciò che è, ossia un atto eversivo della legalità costituzionale utilizzato allo scopo di realizzare un colpo di stato per il quale i responsabili, ossia l’intero governo italiano dovranno essere processati per i gravi reati commessi.</w:t>
      </w:r>
    </w:p>
    <w:p>
      <w:pPr>
        <w:pStyle w:val="Normal"/>
        <w:numPr>
          <w:ilvl w:val="0"/>
          <w:numId w:val="2"/>
        </w:numPr>
        <w:autoSpaceDE w:val="false"/>
        <w:spacing w:lineRule="exact" w:line="480"/>
        <w:jc w:val="both"/>
        <w:rPr>
          <w:rFonts w:ascii="Times New Roman" w:hAnsi="Times New Roman" w:cs="Times New Roman"/>
          <w:sz w:val="24"/>
          <w:szCs w:val="24"/>
        </w:rPr>
      </w:pPr>
      <w:r>
        <w:rPr>
          <w:rFonts w:cs="Times New Roman" w:ascii="Times New Roman" w:hAnsi="Times New Roman"/>
          <w:b/>
          <w:bCs/>
          <w:sz w:val="24"/>
          <w:szCs w:val="24"/>
        </w:rPr>
        <w:t xml:space="preserve">I decreti-legge 52 e 105/2021 sono illegittimi per violazione degli artt. 1, 3, 4, 35, 36, 41 e 78 Cost. </w:t>
      </w:r>
    </w:p>
    <w:p>
      <w:pPr>
        <w:pStyle w:val="Normal"/>
        <w:autoSpaceDE w:val="false"/>
        <w:spacing w:lineRule="exact" w:line="480"/>
        <w:ind w:left="708" w:hanging="0"/>
        <w:jc w:val="both"/>
        <w:rPr>
          <w:rFonts w:ascii="Times New Roman" w:hAnsi="Times New Roman" w:cs="Times New Roman"/>
          <w:sz w:val="24"/>
          <w:szCs w:val="24"/>
        </w:rPr>
      </w:pPr>
      <w:r>
        <w:rPr>
          <w:rFonts w:cs="Times New Roman" w:ascii="Times New Roman" w:hAnsi="Times New Roman"/>
          <w:sz w:val="24"/>
          <w:szCs w:val="24"/>
        </w:rPr>
        <w:t xml:space="preserve">Con una serie di norme, in parte amministrative e in parte legislative il governo ha inteso a varie attività economiche lo svolgimento della loro normale attività lavorativa. </w:t>
      </w:r>
    </w:p>
    <w:p>
      <w:pPr>
        <w:pStyle w:val="Normal"/>
        <w:autoSpaceDE w:val="false"/>
        <w:spacing w:lineRule="exact" w:line="480"/>
        <w:ind w:left="708" w:hanging="0"/>
        <w:jc w:val="both"/>
        <w:rPr>
          <w:rFonts w:ascii="Times New Roman" w:hAnsi="Times New Roman" w:cs="Times New Roman"/>
          <w:sz w:val="24"/>
          <w:szCs w:val="24"/>
        </w:rPr>
      </w:pPr>
      <w:r>
        <w:rPr>
          <w:rFonts w:cs="Times New Roman" w:ascii="Times New Roman" w:hAnsi="Times New Roman"/>
          <w:sz w:val="24"/>
          <w:szCs w:val="24"/>
        </w:rPr>
        <w:t xml:space="preserve">Il primo vizio che è agevole rilevare è la natura discriminatoria delle norme in questione. Infatti, in mancanza di ogni ragionevolezza e senza che si operasse alcun bilanciamento degli interessi, alcuni imprenditori hanno subito gravi limitazioni al diritto di lavorare mentre altri hanno potuto continuare la loro attività lucrando anzi del blocco imposto agli altri. </w:t>
      </w:r>
    </w:p>
    <w:p>
      <w:pPr>
        <w:pStyle w:val="Normal"/>
        <w:autoSpaceDE w:val="false"/>
        <w:spacing w:lineRule="exact" w:line="480"/>
        <w:ind w:left="708" w:hanging="0"/>
        <w:jc w:val="both"/>
        <w:rPr>
          <w:rFonts w:ascii="Times New Roman" w:hAnsi="Times New Roman" w:cs="Times New Roman"/>
          <w:sz w:val="24"/>
          <w:szCs w:val="24"/>
        </w:rPr>
      </w:pPr>
      <w:r>
        <w:rPr>
          <w:rFonts w:cs="Times New Roman" w:ascii="Times New Roman" w:hAnsi="Times New Roman"/>
          <w:sz w:val="24"/>
          <w:szCs w:val="24"/>
        </w:rPr>
        <w:t>Il principio fondante dell’intera struttura repubblicana è il lavoro che assume una posizione addirittura preminente rispetto agli altri diritti fondamentali essendo menzionato all’art. 1 come elemento sul quale si fonda la Repubblica Italiana. Il lavoro, al di là dell’enunciazione, se si vuole, programmatica, di cui all’art. 1, viene declinato come diritto e dovere per il cittadino (art. 4) e si prevede l’obbligo della Repubblica di rendere effettivo tale diritto. Il dovere dello stato di agevolare lo svolgimento di un’attività lavorativa è ulteriormente ribadito all’art. 35 che tutela il lavoro in tutte le sue forme ed applicazioni, poiché il lavoro (art. 36) è l’attività che consente a tutti i cittadini di condurre un’esistenza libera e dignitosa.</w:t>
      </w:r>
    </w:p>
    <w:p>
      <w:pPr>
        <w:pStyle w:val="Normal"/>
        <w:autoSpaceDE w:val="false"/>
        <w:spacing w:lineRule="exact" w:line="480"/>
        <w:ind w:left="708" w:hanging="0"/>
        <w:jc w:val="both"/>
        <w:rPr>
          <w:rFonts w:ascii="Times New Roman" w:hAnsi="Times New Roman" w:cs="Times New Roman"/>
          <w:sz w:val="24"/>
          <w:szCs w:val="24"/>
        </w:rPr>
      </w:pPr>
      <w:r>
        <w:rPr>
          <w:rFonts w:cs="Times New Roman" w:ascii="Times New Roman" w:hAnsi="Times New Roman"/>
          <w:sz w:val="24"/>
          <w:szCs w:val="24"/>
        </w:rPr>
        <w:t xml:space="preserve">Una delle forme attraverso le quali si esplica il diritto al lavoro è la libera iniziativa economica privata (art. 41). </w:t>
      </w:r>
    </w:p>
    <w:p>
      <w:pPr>
        <w:pStyle w:val="Normal"/>
        <w:autoSpaceDE w:val="false"/>
        <w:spacing w:lineRule="exact" w:line="480"/>
        <w:ind w:left="708" w:hanging="0"/>
        <w:jc w:val="both"/>
        <w:rPr>
          <w:rFonts w:ascii="Times New Roman" w:hAnsi="Times New Roman" w:cs="Times New Roman"/>
          <w:sz w:val="24"/>
          <w:szCs w:val="24"/>
        </w:rPr>
      </w:pPr>
      <w:r>
        <w:rPr>
          <w:rFonts w:cs="Times New Roman" w:ascii="Times New Roman" w:hAnsi="Times New Roman"/>
          <w:sz w:val="24"/>
          <w:szCs w:val="24"/>
        </w:rPr>
        <w:t xml:space="preserve">Ora, il dpcm e i decreti-legge di cui al verbale impugnato hanno inteso incidere pesantemente proprio sul diritto al lavoro vietando sostanzialmente a poche categorie di lavoratori lo svolgimento della loro lecita e legittima attività o distogliendoli dalle stesse per fare gli accertatori e discriminare i loro clienti. </w:t>
      </w:r>
    </w:p>
    <w:p>
      <w:pPr>
        <w:pStyle w:val="Normal"/>
        <w:autoSpaceDE w:val="false"/>
        <w:spacing w:lineRule="exact" w:line="480"/>
        <w:ind w:left="708" w:hanging="0"/>
        <w:jc w:val="both"/>
        <w:rPr>
          <w:rFonts w:ascii="Times New Roman" w:hAnsi="Times New Roman" w:cs="Times New Roman"/>
          <w:sz w:val="24"/>
          <w:szCs w:val="24"/>
        </w:rPr>
      </w:pPr>
      <w:r>
        <w:rPr>
          <w:rFonts w:cs="Times New Roman" w:ascii="Times New Roman" w:hAnsi="Times New Roman"/>
          <w:sz w:val="24"/>
          <w:szCs w:val="24"/>
        </w:rPr>
        <w:t xml:space="preserve">Né un atto amministrativo né un decreto-legge possono violare i diritti fondamentali stabiliti dalla Costituzione e nemmeno pretendere di regolamentarli in modo tanto restrittivo da annullarne o impedirne l’esercizio. In particolare, secondo il disposto dell’art. 97 Cost. la pubblica amministrazione deve agire nel rispetto del principio di legalità non essendo ammissibile per il potere esecutivo l’adozione di norme in contrasto con le leggi e men che meno con la legge fondamentale rappresentata dalla Carta costituzionale. </w:t>
      </w:r>
    </w:p>
    <w:p>
      <w:pPr>
        <w:pStyle w:val="Normal"/>
        <w:autoSpaceDE w:val="false"/>
        <w:spacing w:lineRule="exact" w:line="480"/>
        <w:ind w:left="708" w:hanging="0"/>
        <w:jc w:val="both"/>
        <w:rPr>
          <w:rFonts w:ascii="Times New Roman" w:hAnsi="Times New Roman" w:cs="Times New Roman"/>
          <w:sz w:val="24"/>
          <w:szCs w:val="24"/>
        </w:rPr>
      </w:pPr>
      <w:r>
        <w:rPr>
          <w:rFonts w:cs="Times New Roman" w:ascii="Times New Roman" w:hAnsi="Times New Roman"/>
          <w:sz w:val="24"/>
          <w:szCs w:val="24"/>
        </w:rPr>
        <w:t xml:space="preserve">E’ appena il caso di rilevare che la Costituzione Italiana non conosce lo stato di emergenza, essendo solo prevista la deliberazione dello stato di guerra da parte delle camere ai sensi dell’art. 78. </w:t>
      </w:r>
    </w:p>
    <w:p>
      <w:pPr>
        <w:pStyle w:val="Normal"/>
        <w:numPr>
          <w:ilvl w:val="0"/>
          <w:numId w:val="2"/>
        </w:numPr>
        <w:autoSpaceDE w:val="false"/>
        <w:spacing w:lineRule="exact" w:line="480"/>
        <w:jc w:val="both"/>
        <w:rPr>
          <w:rFonts w:ascii="Times New Roman" w:hAnsi="Times New Roman" w:cs="Times New Roman"/>
          <w:color w:val="00000A"/>
          <w:sz w:val="24"/>
          <w:szCs w:val="24"/>
        </w:rPr>
      </w:pPr>
      <w:r>
        <w:rPr>
          <w:rFonts w:cs="Times New Roman" w:ascii="Times New Roman" w:hAnsi="Times New Roman"/>
          <w:b/>
          <w:bCs/>
          <w:color w:val="00000A"/>
          <w:sz w:val="24"/>
          <w:szCs w:val="24"/>
        </w:rPr>
        <w:t xml:space="preserve">Estorsione in danno dei cittadini. </w:t>
      </w:r>
    </w:p>
    <w:p>
      <w:pPr>
        <w:pStyle w:val="Normal"/>
        <w:numPr>
          <w:ilvl w:val="0"/>
          <w:numId w:val="2"/>
        </w:numPr>
        <w:autoSpaceDE w:val="false"/>
        <w:spacing w:lineRule="exact" w:line="480"/>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Il marchio verde non ha alcuna ragione sanitaria ma solo motivazioni politiche, per la precisione il governo ha deciso di aggirare le leggi fondamentali nazionali e internazionali con la minaccia dell'isolamento sociale e lavorativo </w:t>
      </w:r>
      <w:r>
        <w:rPr>
          <w:rFonts w:cs="Times New Roman" w:ascii="Times New Roman" w:hAnsi="Times New Roman"/>
          <w:b/>
          <w:bCs/>
          <w:color w:val="00000A"/>
          <w:sz w:val="24"/>
          <w:szCs w:val="24"/>
          <w:u w:val="single"/>
        </w:rPr>
        <w:t>per introdurre surrettiziamente un obbligo vaccinale che non può imporre, a causa delle norme sovranazionali citate e delle autorizzazioni provvisorie alla commercializzazione dei prodotti genici chiamati impropriamente vaccini, e perché in quel caso dovrebbe garantire a tutti coloro che dovessero subire reazioni avverse, anche invalidanti o mortali, un congruo risarcimento</w:t>
      </w:r>
      <w:r>
        <w:rPr>
          <w:rFonts w:cs="Times New Roman" w:ascii="Times New Roman" w:hAnsi="Times New Roman"/>
          <w:color w:val="00000A"/>
          <w:sz w:val="24"/>
          <w:szCs w:val="24"/>
        </w:rPr>
        <w:t>, rigorosamente escluso atteso che chi si presenta a un centro vaccinale si vede costretto a firmare specifica liberatoria incondizionata.</w:t>
      </w:r>
    </w:p>
    <w:p>
      <w:pPr>
        <w:pStyle w:val="Normal"/>
        <w:autoSpaceDE w:val="false"/>
        <w:spacing w:lineRule="exact" w:line="480"/>
        <w:ind w:left="708" w:hanging="0"/>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Pertanto, tale pretesa, quella della esibizione del marchio verde per potere sostanzialmente essere liberi, potrebbe configurare, anche in capo alle autorità preposte all'attuazione di detti obblighi, </w:t>
      </w:r>
      <w:r>
        <w:rPr>
          <w:rFonts w:cs="Times New Roman" w:ascii="Times New Roman" w:hAnsi="Times New Roman"/>
          <w:b/>
          <w:bCs/>
          <w:color w:val="00000A"/>
          <w:sz w:val="24"/>
          <w:szCs w:val="24"/>
        </w:rPr>
        <w:t>il reato di estorsione di cui all'articolo 629 del codice penale.</w:t>
      </w:r>
    </w:p>
    <w:p>
      <w:pPr>
        <w:pStyle w:val="ListParagraph"/>
        <w:autoSpaceDE w:val="false"/>
        <w:spacing w:lineRule="exact" w:line="480" w:before="0" w:after="0"/>
        <w:jc w:val="both"/>
        <w:rPr>
          <w:rFonts w:ascii="Times New Roman" w:hAnsi="Times New Roman" w:cs="Times New Roman"/>
          <w:b/>
          <w:b/>
          <w:bCs/>
          <w:sz w:val="24"/>
          <w:szCs w:val="24"/>
        </w:rPr>
      </w:pPr>
      <w:r>
        <w:rPr>
          <w:rFonts w:cs="Times New Roman" w:ascii="Times New Roman" w:hAnsi="Times New Roman"/>
          <w:color w:val="00000A"/>
          <w:sz w:val="24"/>
          <w:szCs w:val="24"/>
        </w:rPr>
        <w:t xml:space="preserve">Anche per tale ragione, oltre che per quelle indicate in premessa, si chiede che il Prefetto voglia segnalare gli operanti alla competente Procura della Repubblica affinché provveda ad esercitare l’azione penale nei loro confronti. </w:t>
      </w:r>
    </w:p>
    <w:p>
      <w:pPr>
        <w:pStyle w:val="ListParagraph"/>
        <w:autoSpaceDE w:val="false"/>
        <w:spacing w:lineRule="exact" w:line="480" w:before="0" w:after="0"/>
        <w:ind w:left="0" w:right="0" w:hanging="0"/>
        <w:jc w:val="center"/>
        <w:rPr>
          <w:rFonts w:ascii="Times New Roman" w:hAnsi="Times New Roman" w:cs="Times New Roman"/>
          <w:color w:val="00000A"/>
          <w:sz w:val="24"/>
          <w:szCs w:val="24"/>
        </w:rPr>
      </w:pPr>
      <w:r>
        <w:rPr>
          <w:rFonts w:cs="Times New Roman" w:ascii="Times New Roman" w:hAnsi="Times New Roman"/>
          <w:b/>
          <w:bCs/>
          <w:sz w:val="24"/>
          <w:szCs w:val="24"/>
        </w:rPr>
        <w:t>PQM</w:t>
      </w:r>
    </w:p>
    <w:p>
      <w:pPr>
        <w:pStyle w:val="ListParagraph"/>
        <w:autoSpaceDE w:val="false"/>
        <w:spacing w:lineRule="exact" w:line="480" w:before="0" w:after="0"/>
        <w:ind w:left="0" w:right="0" w:hanging="0"/>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Le evidenti mende di incostituzionalità ed i dubbi di liceità penale dovrebbero apparire evidenti al Prefetto in epigrafe al quale per i motivi sopra esposti si richiede di disporre l’archiviazione del procedimento sanzionatorio non sussistendo i requisiti e di denunciare i verbalizzanti alla competente Procura della Repubblica per i reati ipotizzati e si richiede anche di essere sentiti. </w:t>
      </w:r>
    </w:p>
    <w:p>
      <w:pPr>
        <w:pStyle w:val="ListParagraph"/>
        <w:autoSpaceDE w:val="false"/>
        <w:spacing w:lineRule="exact" w:line="480" w:before="0" w:after="0"/>
        <w:ind w:left="0" w:right="0" w:hanging="0"/>
        <w:jc w:val="both"/>
        <w:rPr>
          <w:rFonts w:ascii="Times New Roman" w:hAnsi="Times New Roman" w:cs="Times New Roman"/>
          <w:color w:val="00000A"/>
          <w:sz w:val="24"/>
          <w:szCs w:val="24"/>
        </w:rPr>
      </w:pPr>
      <w:r>
        <w:rPr>
          <w:rFonts w:cs="Times New Roman" w:ascii="Times New Roman" w:hAnsi="Times New Roman"/>
          <w:color w:val="00000A"/>
          <w:sz w:val="24"/>
          <w:szCs w:val="24"/>
        </w:rPr>
      </w:r>
    </w:p>
    <w:p>
      <w:pPr>
        <w:pStyle w:val="ListParagraph"/>
        <w:autoSpaceDE w:val="false"/>
        <w:spacing w:lineRule="exact" w:line="480" w:before="0" w:after="0"/>
        <w:ind w:left="0" w:right="0" w:hanging="0"/>
        <w:jc w:val="both"/>
        <w:rPr>
          <w:rFonts w:ascii="Times New Roman" w:hAnsi="Times New Roman" w:cs="Times New Roman"/>
          <w:sz w:val="24"/>
          <w:szCs w:val="24"/>
        </w:rPr>
      </w:pPr>
      <w:r>
        <w:rPr>
          <w:rFonts w:cs="Times New Roman" w:ascii="Times New Roman" w:hAnsi="Times New Roman"/>
          <w:sz w:val="24"/>
          <w:szCs w:val="24"/>
        </w:rPr>
        <w:t xml:space="preserve">Si allega la seguente documentazione: </w:t>
      </w:r>
    </w:p>
    <w:p>
      <w:pPr>
        <w:pStyle w:val="ListParagraph"/>
        <w:numPr>
          <w:ilvl w:val="0"/>
          <w:numId w:val="3"/>
        </w:numPr>
        <w:autoSpaceDE w:val="false"/>
        <w:spacing w:lineRule="exact" w:line="480" w:before="0" w:after="0"/>
        <w:jc w:val="both"/>
        <w:rPr>
          <w:rFonts w:ascii="Times New Roman" w:hAnsi="Times New Roman" w:cs="Times New Roman"/>
          <w:sz w:val="24"/>
          <w:szCs w:val="24"/>
        </w:rPr>
      </w:pPr>
      <w:r>
        <w:rPr>
          <w:rFonts w:cs="Times New Roman" w:ascii="Times New Roman" w:hAnsi="Times New Roman"/>
          <w:sz w:val="24"/>
          <w:szCs w:val="24"/>
        </w:rPr>
        <w:t xml:space="preserve">Documento di identità </w:t>
      </w:r>
    </w:p>
    <w:p>
      <w:pPr>
        <w:pStyle w:val="ListParagraph"/>
        <w:numPr>
          <w:ilvl w:val="0"/>
          <w:numId w:val="3"/>
        </w:numPr>
        <w:autoSpaceDE w:val="false"/>
        <w:spacing w:lineRule="exact" w:line="480" w:before="0" w:after="0"/>
        <w:jc w:val="both"/>
        <w:rPr>
          <w:rFonts w:ascii="Times New Roman" w:hAnsi="Times New Roman" w:cs="Times New Roman"/>
          <w:sz w:val="24"/>
          <w:szCs w:val="24"/>
        </w:rPr>
      </w:pPr>
      <w:r>
        <w:rPr>
          <w:rFonts w:cs="Times New Roman" w:ascii="Times New Roman" w:hAnsi="Times New Roman"/>
          <w:sz w:val="24"/>
          <w:szCs w:val="24"/>
        </w:rPr>
        <w:t>Verbale di contestazione</w:t>
      </w:r>
    </w:p>
    <w:p>
      <w:pPr>
        <w:pStyle w:val="ListParagraph"/>
        <w:autoSpaceDE w:val="false"/>
        <w:spacing w:lineRule="exact" w:line="480" w:before="0" w:after="0"/>
        <w:ind w:left="0" w:right="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autoSpaceDE w:val="false"/>
        <w:spacing w:lineRule="exact" w:line="480" w:before="0" w:after="0"/>
        <w:ind w:left="0" w:right="0" w:hanging="0"/>
        <w:jc w:val="both"/>
        <w:rPr>
          <w:rFonts w:ascii="Times New Roman" w:hAnsi="Times New Roman" w:cs="Times New Roman"/>
          <w:sz w:val="24"/>
          <w:szCs w:val="24"/>
        </w:rPr>
      </w:pPr>
      <w:r>
        <w:rPr>
          <w:rFonts w:cs="Times New Roman" w:ascii="Times New Roman" w:hAnsi="Times New Roman"/>
          <w:sz w:val="24"/>
          <w:szCs w:val="24"/>
        </w:rPr>
        <w:t xml:space="preserve">Luogo,                    </w:t>
      </w:r>
    </w:p>
    <w:p>
      <w:pPr>
        <w:pStyle w:val="ListParagraph"/>
        <w:autoSpaceDE w:val="false"/>
        <w:spacing w:lineRule="exact" w:line="480" w:before="0" w:after="0"/>
        <w:ind w:left="0" w:right="0" w:hanging="0"/>
        <w:jc w:val="both"/>
        <w:rPr>
          <w:rFonts w:ascii="Times New Roman" w:hAnsi="Times New Roman" w:cs="Times New Roman"/>
          <w:sz w:val="24"/>
          <w:szCs w:val="24"/>
        </w:rPr>
      </w:pPr>
      <w:r>
        <w:rPr>
          <w:rFonts w:cs="Times New Roman" w:ascii="Times New Roman" w:hAnsi="Times New Roman"/>
          <w:sz w:val="24"/>
          <w:szCs w:val="24"/>
        </w:rPr>
        <w:t xml:space="preserve">Data,  </w:t>
      </w:r>
    </w:p>
    <w:p>
      <w:pPr>
        <w:pStyle w:val="ListParagraph"/>
        <w:autoSpaceDE w:val="false"/>
        <w:spacing w:lineRule="exact" w:line="480" w:before="0" w:after="0"/>
        <w:ind w:left="0" w:right="0" w:hanging="0"/>
        <w:jc w:val="both"/>
        <w:rPr>
          <w:rFonts w:ascii="Times New Roman" w:hAnsi="Times New Roman" w:cs="Times New Roman"/>
          <w:sz w:val="24"/>
          <w:szCs w:val="24"/>
        </w:rPr>
      </w:pPr>
      <w:r>
        <w:rPr>
          <w:rFonts w:cs="Times New Roman" w:ascii="Times New Roman" w:hAnsi="Times New Roman"/>
          <w:sz w:val="24"/>
          <w:szCs w:val="24"/>
        </w:rPr>
        <w:tab/>
        <w:tab/>
        <w:tab/>
        <w:tab/>
        <w:tab/>
        <w:t>Firma ____________________________</w:t>
      </w:r>
    </w:p>
    <w:p>
      <w:pPr>
        <w:pStyle w:val="Normal"/>
        <w:spacing w:lineRule="auto" w:line="360"/>
        <w:ind w:left="2832" w:firstLine="708"/>
        <w:jc w:val="both"/>
        <w:rPr>
          <w:rFonts w:ascii="Times New Roman" w:hAnsi="Times New Roman" w:cs="Times New Roman"/>
          <w:b/>
          <w:b/>
          <w:bCs/>
          <w:sz w:val="24"/>
          <w:szCs w:val="24"/>
        </w:rPr>
      </w:pPr>
      <w:r>
        <w:rPr>
          <w:rFonts w:cs="Times New Roman" w:ascii="Times New Roman" w:hAnsi="Times New Roman"/>
          <w:b/>
          <w:bCs/>
          <w:sz w:val="24"/>
          <w:szCs w:val="24"/>
        </w:rPr>
      </w:r>
    </w:p>
    <w:sectPr>
      <w:headerReference w:type="default" r:id="rId2"/>
      <w:footerReference w:type="default" r:id="rId3"/>
      <w:type w:val="nextPage"/>
      <w:pgSz w:w="11906" w:h="16838"/>
      <w:pgMar w:left="1134" w:right="1134" w:gutter="0" w:header="567" w:top="1985" w:footer="907" w:bottom="964"/>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Georgia">
    <w:charset w:val="00"/>
    <w:family w:val="roman"/>
    <w:pitch w:val="variable"/>
  </w:font>
  <w:font w:name="Cambria">
    <w:charset w:val="00"/>
    <w:family w:val="roman"/>
    <w:pitch w:val="variable"/>
  </w:font>
  <w:font w:name="OpenSymbol">
    <w:altName w:val="Arial Unicode MS"/>
    <w:charset w:val="02"/>
    <w:family w:val="auto"/>
    <w:pitch w:val="default"/>
  </w:font>
  <w:font w:name="Tahoma">
    <w:charset w:val="00"/>
    <w:family w:val="swiss"/>
    <w:pitch w:val="variable"/>
  </w:font>
  <w:font w:name="Sole Serif Text">
    <w:altName w:val="Cambria"/>
    <w:charset w:val="00"/>
    <w:family w:val="roman"/>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pPr>
    <w:r>
      <w:rPr/>
      <w:fldChar w:fldCharType="begin"/>
    </w:r>
    <w:r>
      <w:rPr/>
      <w:instrText> PAGE </w:instrText>
    </w:r>
    <w:r>
      <w:rPr/>
      <w:fldChar w:fldCharType="separate"/>
    </w:r>
    <w:r>
      <w:rPr/>
      <w:t>11</w:t>
    </w:r>
    <w:r>
      <w:rPr/>
      <w:fldChar w:fldCharType="end"/>
    </w:r>
  </w:p>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itolo"/>
      <w:tabs>
        <w:tab w:val="clear" w:pos="708"/>
        <w:tab w:val="center" w:pos="4819" w:leader="none"/>
      </w:tabs>
      <w:jc w:val="left"/>
      <w:rPr>
        <w:rFonts w:ascii="Georgia" w:hAnsi="Georgia" w:eastAsia="Batang;바탕" w:cs="Georgia"/>
        <w:color w:val="4D4D4D"/>
        <w:spacing w:val="20"/>
      </w:rPr>
    </w:pPr>
    <w:r>
      <w:rPr>
        <w:rFonts w:eastAsia="Batang;바탕" w:cs="Georgia" w:ascii="Georgia" w:hAnsi="Georgia"/>
        <w:color w:val="4D4D4D"/>
        <w:spacing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none"/>
      <w:suff w:val="nothing"/>
      <w:lvlText w:val=""/>
      <w:lvlJc w:val="left"/>
      <w:pPr>
        <w:tabs>
          <w:tab w:val="num" w:pos="0"/>
        </w:tabs>
        <w:ind w:left="432" w:hanging="432"/>
      </w:pPr>
      <w:rPr/>
    </w:lvl>
    <w:lvl w:ilvl="1">
      <w:start w:val="1"/>
      <w:pStyle w:val="Titolo2"/>
      <w:numFmt w:val="none"/>
      <w:suff w:val="nothing"/>
      <w:lvlText w:val=""/>
      <w:lvlJc w:val="left"/>
      <w:pPr>
        <w:tabs>
          <w:tab w:val="num" w:pos="0"/>
        </w:tabs>
        <w:ind w:left="576" w:hanging="576"/>
      </w:pPr>
      <w:rPr/>
    </w:lvl>
    <w:lvl w:ilvl="2">
      <w:start w:val="1"/>
      <w:pStyle w:val="Titolo3"/>
      <w:numFmt w:val="none"/>
      <w:suff w:val="nothing"/>
      <w:lvlText w:val=""/>
      <w:lvlJc w:val="left"/>
      <w:pPr>
        <w:tabs>
          <w:tab w:val="num" w:pos="0"/>
        </w:tabs>
        <w:ind w:left="720" w:hanging="720"/>
      </w:pPr>
      <w:r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sz w:val="24"/>
        <w:b/>
        <w:szCs w:val="24"/>
        <w:bCs/>
        <w:rFonts w:ascii="Times New Roman" w:hAnsi="Times New Roman" w:cs="Times New Roman"/>
        <w:color w:val="00000A"/>
      </w:rPr>
    </w:lvl>
    <w:lvl w:ilvl="1">
      <w:start w:val="1"/>
      <w:numFmt w:val="lowerLetter"/>
      <w:lvlText w:val="%2."/>
      <w:lvlJc w:val="left"/>
      <w:pPr>
        <w:tabs>
          <w:tab w:val="num" w:pos="0"/>
        </w:tabs>
        <w:ind w:left="1440" w:hanging="360"/>
      </w:pPr>
      <w:rPr/>
    </w:lvl>
    <w:lvl w:ilvl="2">
      <w:start w:val="1"/>
      <w:numFmt w:val="lowerRoman"/>
      <w:lvlText w:val="%2.%3."/>
      <w:lvlJc w:val="right"/>
      <w:pPr>
        <w:tabs>
          <w:tab w:val="num" w:pos="0"/>
        </w:tabs>
        <w:ind w:left="2160" w:hanging="180"/>
      </w:pPr>
      <w:rPr/>
    </w:lvl>
    <w:lvl w:ilvl="3">
      <w:start w:val="1"/>
      <w:numFmt w:val="decimal"/>
      <w:lvlText w:val="%2.%3.%4."/>
      <w:lvlJc w:val="left"/>
      <w:pPr>
        <w:tabs>
          <w:tab w:val="num" w:pos="0"/>
        </w:tabs>
        <w:ind w:left="2880" w:hanging="360"/>
      </w:pPr>
      <w:rPr/>
    </w:lvl>
    <w:lvl w:ilvl="4">
      <w:start w:val="1"/>
      <w:numFmt w:val="lowerLetter"/>
      <w:lvlText w:val="%2.%3.%4.%5."/>
      <w:lvlJc w:val="left"/>
      <w:pPr>
        <w:tabs>
          <w:tab w:val="num" w:pos="0"/>
        </w:tabs>
        <w:ind w:left="3600" w:hanging="360"/>
      </w:pPr>
      <w:rPr/>
    </w:lvl>
    <w:lvl w:ilvl="5">
      <w:start w:val="1"/>
      <w:numFmt w:val="lowerRoman"/>
      <w:lvlText w:val="%2.%3.%4.%5.%6."/>
      <w:lvlJc w:val="right"/>
      <w:pPr>
        <w:tabs>
          <w:tab w:val="num" w:pos="0"/>
        </w:tabs>
        <w:ind w:left="4320" w:hanging="180"/>
      </w:pPr>
      <w:rPr/>
    </w:lvl>
    <w:lvl w:ilvl="6">
      <w:start w:val="1"/>
      <w:numFmt w:val="decimal"/>
      <w:lvlText w:val="%2.%3.%4.%5.%6.%7."/>
      <w:lvlJc w:val="left"/>
      <w:pPr>
        <w:tabs>
          <w:tab w:val="num" w:pos="0"/>
        </w:tabs>
        <w:ind w:left="5040" w:hanging="360"/>
      </w:pPr>
      <w:rPr/>
    </w:lvl>
    <w:lvl w:ilvl="7">
      <w:start w:val="1"/>
      <w:numFmt w:val="lowerLetter"/>
      <w:lvlText w:val="%2.%3.%4.%5.%6.%7.%8."/>
      <w:lvlJc w:val="left"/>
      <w:pPr>
        <w:tabs>
          <w:tab w:val="num" w:pos="0"/>
        </w:tabs>
        <w:ind w:left="5760" w:hanging="360"/>
      </w:pPr>
      <w:rPr/>
    </w:lvl>
    <w:lvl w:ilvl="8">
      <w:start w:val="1"/>
      <w:numFmt w:val="lowerRoman"/>
      <w:lvlText w:val="%2.%3.%4.%5.%6.%7.%8.%9."/>
      <w:lvlJc w:val="right"/>
      <w:pPr>
        <w:tabs>
          <w:tab w:val="num" w:pos="0"/>
        </w:tabs>
        <w:ind w:left="6480" w:hanging="180"/>
      </w:pPr>
      <w:rPr/>
    </w:lvl>
  </w:abstractNum>
  <w:abstractNum w:abstractNumId="3">
    <w:lvl w:ilvl="0">
      <w:start w:val="1"/>
      <w:numFmt w:val="decimal"/>
      <w:lvlText w:val="%1."/>
      <w:lvlJc w:val="left"/>
      <w:pPr>
        <w:tabs>
          <w:tab w:val="num" w:pos="720"/>
        </w:tabs>
        <w:ind w:left="720" w:hanging="360"/>
      </w:pPr>
      <w:rPr>
        <w:sz w:val="24"/>
        <w:szCs w:val="24"/>
        <w:rFonts w:ascii="Times New Roman" w:hAnsi="Times New Roman"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1080"/>
        </w:tabs>
        <w:ind w:left="1080" w:hanging="360"/>
      </w:pPr>
      <w:rPr>
        <w:rFonts w:ascii="Symbol" w:hAnsi="Symbol" w:cs="Symbol" w:hint="default"/>
        <w:sz w:val="24"/>
        <w:szCs w:val="24"/>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sz w:val="24"/>
        <w:szCs w:val="24"/>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sz w:val="24"/>
        <w:szCs w:val="24"/>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isplayBackgroundShape/>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pPr>
    <w:rPr>
      <w:rFonts w:ascii="Calibri" w:hAnsi="Calibri" w:eastAsia="Times New Roman" w:cs="Calibri"/>
      <w:color w:val="auto"/>
      <w:sz w:val="22"/>
      <w:szCs w:val="22"/>
      <w:lang w:val="it-IT" w:bidi="ar-SA" w:eastAsia="zh-CN"/>
    </w:rPr>
  </w:style>
  <w:style w:type="paragraph" w:styleId="Titolo1">
    <w:name w:val="Heading 1"/>
    <w:basedOn w:val="Normal"/>
    <w:next w:val="Corpodeltesto"/>
    <w:qFormat/>
    <w:pPr>
      <w:keepNext w:val="true"/>
      <w:numPr>
        <w:ilvl w:val="0"/>
        <w:numId w:val="1"/>
      </w:numPr>
      <w:jc w:val="both"/>
      <w:outlineLvl w:val="0"/>
    </w:pPr>
    <w:rPr>
      <w:b/>
      <w:bCs/>
      <w:smallCaps/>
      <w:color w:val="808080"/>
    </w:rPr>
  </w:style>
  <w:style w:type="paragraph" w:styleId="Titolo2">
    <w:name w:val="Heading 2"/>
    <w:basedOn w:val="Normal"/>
    <w:next w:val="Corpodeltesto"/>
    <w:qFormat/>
    <w:pPr>
      <w:keepNext w:val="true"/>
      <w:numPr>
        <w:ilvl w:val="1"/>
        <w:numId w:val="1"/>
      </w:numPr>
      <w:outlineLvl w:val="1"/>
    </w:pPr>
    <w:rPr>
      <w:rFonts w:ascii="Georgia" w:hAnsi="Georgia" w:cs="Georgia"/>
      <w:b/>
      <w:bCs/>
      <w:color w:val="808080"/>
      <w:sz w:val="16"/>
    </w:rPr>
  </w:style>
  <w:style w:type="paragraph" w:styleId="Titolo3">
    <w:name w:val="Heading 3"/>
    <w:basedOn w:val="Normal"/>
    <w:next w:val="Corpodeltesto"/>
    <w:qFormat/>
    <w:pPr>
      <w:keepNext w:val="true"/>
      <w:keepLines/>
      <w:numPr>
        <w:ilvl w:val="2"/>
        <w:numId w:val="1"/>
      </w:numPr>
      <w:spacing w:lineRule="auto" w:line="276" w:before="200" w:after="0"/>
      <w:outlineLvl w:val="2"/>
    </w:pPr>
    <w:rPr>
      <w:rFonts w:ascii="Cambria" w:hAnsi="Cambria" w:cs="Cambria"/>
      <w:b/>
      <w:bCs/>
      <w:color w:val="4F81BD"/>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Times New Roman" w:hAnsi="Times New Roman" w:cs="Times New Roman"/>
      <w:b/>
      <w:bCs/>
      <w:color w:val="00000A"/>
      <w:sz w:val="24"/>
      <w:szCs w:val="24"/>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Times New Roman" w:hAnsi="Times New Roman" w:cs="Times New Roman"/>
      <w:sz w:val="24"/>
      <w:szCs w:val="24"/>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OpenSymbol;Calibri"/>
      <w:sz w:val="24"/>
      <w:szCs w:val="24"/>
    </w:rPr>
  </w:style>
  <w:style w:type="character" w:styleId="WW8Num5z1">
    <w:name w:val="WW8Num5z1"/>
    <w:qFormat/>
    <w:rPr>
      <w:rFonts w:ascii="OpenSymbol;Calibri" w:hAnsi="OpenSymbol;Calibri" w:cs="OpenSymbol;Calibri"/>
    </w:rPr>
  </w:style>
  <w:style w:type="character" w:styleId="Carpredefinitoparagrafo">
    <w:name w:val="Car. predefinito paragrafo"/>
    <w:qFormat/>
    <w:rPr/>
  </w:style>
  <w:style w:type="character" w:styleId="DefaultParagraphFont">
    <w:name w:val="Default Paragraph Font"/>
    <w:qFormat/>
    <w:rPr/>
  </w:style>
  <w:style w:type="character" w:styleId="Titolo2Carattere">
    <w:name w:val="Titolo 2 Carattere"/>
    <w:qFormat/>
    <w:rPr>
      <w:rFonts w:ascii="Georgia" w:hAnsi="Georgia" w:cs="Georgia"/>
      <w:b/>
      <w:bCs/>
      <w:color w:val="808080"/>
      <w:sz w:val="16"/>
      <w:szCs w:val="24"/>
    </w:rPr>
  </w:style>
  <w:style w:type="character" w:styleId="IntestazioneCarattere">
    <w:name w:val="Intestazione Carattere"/>
    <w:qFormat/>
    <w:rPr>
      <w:sz w:val="24"/>
      <w:szCs w:val="24"/>
    </w:rPr>
  </w:style>
  <w:style w:type="character" w:styleId="PidipaginaCarattere">
    <w:name w:val="Piè di pagina Carattere"/>
    <w:qFormat/>
    <w:rPr>
      <w:sz w:val="24"/>
      <w:szCs w:val="24"/>
    </w:rPr>
  </w:style>
  <w:style w:type="character" w:styleId="Enfasiforte">
    <w:name w:val="Enfasi forte"/>
    <w:qFormat/>
    <w:rPr>
      <w:b/>
      <w:bCs/>
    </w:rPr>
  </w:style>
  <w:style w:type="character" w:styleId="Titolo3Carattere">
    <w:name w:val="Titolo 3 Carattere"/>
    <w:qFormat/>
    <w:rPr>
      <w:rFonts w:ascii="Cambria" w:hAnsi="Cambria" w:cs="Cambria"/>
      <w:b/>
      <w:bCs/>
      <w:color w:val="4F81BD"/>
      <w:sz w:val="22"/>
      <w:szCs w:val="22"/>
    </w:rPr>
  </w:style>
  <w:style w:type="character" w:styleId="Appleconvertedspace">
    <w:name w:val="apple-converted-space"/>
    <w:basedOn w:val="DefaultParagraphFont"/>
    <w:qFormat/>
    <w:rPr/>
  </w:style>
  <w:style w:type="character" w:styleId="CollegamentoInternet">
    <w:name w:val="Collegamento Internet"/>
    <w:rPr>
      <w:color w:val="0000FF"/>
      <w:u w:val="single"/>
      <w:lang w:val="zxx" w:bidi="zxx"/>
    </w:rPr>
  </w:style>
  <w:style w:type="character" w:styleId="A21">
    <w:name w:val="A2+1"/>
    <w:qFormat/>
    <w:rPr>
      <w:rFonts w:cs="Sole Serif Text;Cambria"/>
      <w:color w:val="000000"/>
      <w:sz w:val="22"/>
      <w:szCs w:val="22"/>
    </w:rPr>
  </w:style>
  <w:style w:type="character" w:styleId="A51">
    <w:name w:val="A5+1"/>
    <w:qFormat/>
    <w:rPr>
      <w:rFonts w:cs="Sole Serif Text;Cambria"/>
      <w:color w:val="000000"/>
      <w:sz w:val="16"/>
      <w:szCs w:val="16"/>
    </w:rPr>
  </w:style>
  <w:style w:type="character" w:styleId="Enfasi">
    <w:name w:val="Enfasi"/>
    <w:qFormat/>
    <w:rPr>
      <w:i/>
      <w:iCs/>
    </w:rPr>
  </w:style>
  <w:style w:type="character" w:styleId="TestofumettoCarattere">
    <w:name w:val="Testo fumetto Carattere"/>
    <w:qFormat/>
    <w:rPr>
      <w:rFonts w:ascii="Tahoma" w:hAnsi="Tahoma" w:cs="Tahoma"/>
      <w:sz w:val="16"/>
      <w:szCs w:val="16"/>
    </w:rPr>
  </w:style>
  <w:style w:type="character" w:styleId="Linkneltesto">
    <w:name w:val="link_nel_testo"/>
    <w:basedOn w:val="DefaultParagraphFont"/>
    <w:qFormat/>
    <w:rPr/>
  </w:style>
  <w:style w:type="character" w:styleId="Menzionenonrisolta1">
    <w:name w:val="Menzione non risolta1"/>
    <w:qFormat/>
    <w:rPr>
      <w:color w:val="808080"/>
    </w:rPr>
  </w:style>
  <w:style w:type="character" w:styleId="CorpotestoCarattere">
    <w:name w:val="Corpo testo Carattere"/>
    <w:qFormat/>
    <w:rPr>
      <w:sz w:val="26"/>
      <w:szCs w:val="24"/>
      <w:u w:val="single"/>
    </w:rPr>
  </w:style>
  <w:style w:type="character" w:styleId="FollowedHyperlink">
    <w:name w:val="FollowedHyperlink"/>
    <w:qFormat/>
    <w:rPr>
      <w:color w:val="800080"/>
      <w:u w:val="single"/>
    </w:rPr>
  </w:style>
  <w:style w:type="character" w:styleId="Massgeclassl1">
    <w:name w:val="massge_class_l1"/>
    <w:basedOn w:val="DefaultParagraphFont"/>
    <w:qFormat/>
    <w:rPr/>
  </w:style>
  <w:style w:type="character" w:styleId="Massgeclassl2">
    <w:name w:val="massge_class_l2"/>
    <w:basedOn w:val="DefaultParagraphFont"/>
    <w:qFormat/>
    <w:rPr/>
  </w:style>
  <w:style w:type="character" w:styleId="Massgenerettovoce">
    <w:name w:val="massge_neretto_voce"/>
    <w:basedOn w:val="DefaultParagraphFont"/>
    <w:qFormat/>
    <w:rPr/>
  </w:style>
  <w:style w:type="character" w:styleId="Massgenerettodescr">
    <w:name w:val="massge_neretto_descr"/>
    <w:basedOn w:val="DefaultParagraphFont"/>
    <w:qFormat/>
    <w:rPr/>
  </w:style>
  <w:style w:type="character" w:styleId="Codartcodice">
    <w:name w:val="codart_codice"/>
    <w:basedOn w:val="DefaultParagraphFont"/>
    <w:qFormat/>
    <w:rPr/>
  </w:style>
  <w:style w:type="character" w:styleId="Codartart">
    <w:name w:val="codart_art"/>
    <w:basedOn w:val="DefaultParagraphFont"/>
    <w:qFormat/>
    <w:rPr/>
  </w:style>
  <w:style w:type="character" w:styleId="Codartarticolo">
    <w:name w:val="codart_articolo"/>
    <w:basedOn w:val="DefaultParagraphFont"/>
    <w:qFormat/>
    <w:rPr/>
  </w:style>
  <w:style w:type="character" w:styleId="Codartrubrica">
    <w:name w:val="codart_rubrica"/>
    <w:basedOn w:val="DefaultParagraphFont"/>
    <w:qFormat/>
    <w:rPr/>
  </w:style>
  <w:style w:type="character" w:styleId="Highlight">
    <w:name w:val="highlight"/>
    <w:basedOn w:val="DefaultParagraphFont"/>
    <w:qFormat/>
    <w:rPr/>
  </w:style>
  <w:style w:type="character" w:styleId="UnresolvedMention">
    <w:name w:val="Unresolved Mention"/>
    <w:qFormat/>
    <w:rPr>
      <w:color w:val="605E5C"/>
    </w:rPr>
  </w:style>
  <w:style w:type="character" w:styleId="Provvnumart">
    <w:name w:val="provv_numart"/>
    <w:basedOn w:val="DefaultParagraphFont"/>
    <w:qFormat/>
    <w:rPr/>
  </w:style>
  <w:style w:type="character" w:styleId="Provvrubrica">
    <w:name w:val="provv_rubrica"/>
    <w:basedOn w:val="DefaultParagraphFont"/>
    <w:qFormat/>
    <w:rPr/>
  </w:style>
  <w:style w:type="character" w:styleId="Ciperneretto">
    <w:name w:val="ciper_neretto"/>
    <w:basedOn w:val="DefaultParagraphFont"/>
    <w:qFormat/>
    <w:rPr/>
  </w:style>
  <w:style w:type="character" w:styleId="Ciperitalico">
    <w:name w:val="ciper_italico"/>
    <w:basedOn w:val="DefaultParagraphFont"/>
    <w:qFormat/>
    <w:rPr/>
  </w:style>
  <w:style w:type="character" w:styleId="Carpredefinitoparagrafo1">
    <w:name w:val="Car. predefinito paragrafo1"/>
    <w:qFormat/>
    <w:rPr/>
  </w:style>
  <w:style w:type="character" w:styleId="Wkhighlight">
    <w:name w:val="wk-highlight"/>
    <w:basedOn w:val="Carpredefinitoparagrafo1"/>
    <w:qFormat/>
    <w:rPr/>
  </w:style>
  <w:style w:type="character" w:styleId="Wkittitle">
    <w:name w:val="wkit-title"/>
    <w:basedOn w:val="Carpredefinitoparagrafo1"/>
    <w:qFormat/>
    <w:rPr/>
  </w:style>
  <w:style w:type="character" w:styleId="Wkitpartiesnames">
    <w:name w:val="wkit-parties-names"/>
    <w:basedOn w:val="Carpredefinitoparagrafo1"/>
    <w:qFormat/>
    <w:rPr/>
  </w:style>
  <w:style w:type="character" w:styleId="Caratteredinumerazione">
    <w:name w:val="Carattere di numerazione"/>
    <w:qFormat/>
    <w:rPr/>
  </w:style>
  <w:style w:type="character" w:styleId="WW8Num6z0">
    <w:name w:val="WW8Num6z0"/>
    <w:qFormat/>
    <w:rPr>
      <w:rFonts w:ascii="Times New Roman" w:hAnsi="Times New Roman" w:eastAsia="Calibri" w:cs="Times New Roman"/>
      <w:b/>
      <w:bCs/>
      <w:color w:val="000000"/>
      <w:sz w:val="24"/>
      <w:szCs w:val="24"/>
      <w:shd w:fill="FFFFFF" w:val="clear"/>
      <w:lang w:val="zxx" w:bidi="zxx"/>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Punti">
    <w:name w:val="Punti"/>
    <w:qFormat/>
    <w:rPr>
      <w:rFonts w:ascii="OpenSymbol;Calibri" w:hAnsi="OpenSymbol;Calibri" w:eastAsia="OpenSymbol;Calibri" w:cs="OpenSymbol;Calibri"/>
    </w:rPr>
  </w:style>
  <w:style w:type="paragraph" w:styleId="Titolo">
    <w:name w:val="Titolo"/>
    <w:basedOn w:val="Normal"/>
    <w:next w:val="Sottotitolo"/>
    <w:qFormat/>
    <w:pPr>
      <w:numPr>
        <w:ilvl w:val="0"/>
        <w:numId w:val="0"/>
      </w:numPr>
      <w:ind w:left="0" w:right="0" w:hanging="0"/>
      <w:jc w:val="center"/>
    </w:pPr>
    <w:rPr>
      <w:b/>
      <w:bCs/>
      <w:smallCaps/>
      <w:color w:val="808080"/>
      <w:sz w:val="36"/>
      <w:szCs w:val="36"/>
    </w:rPr>
  </w:style>
  <w:style w:type="paragraph" w:styleId="Corpodeltesto">
    <w:name w:val="Body Text"/>
    <w:basedOn w:val="Normal"/>
    <w:pPr>
      <w:numPr>
        <w:ilvl w:val="0"/>
        <w:numId w:val="0"/>
      </w:numPr>
      <w:spacing w:lineRule="auto" w:line="480"/>
      <w:ind w:left="0" w:right="0" w:hanging="0"/>
      <w:jc w:val="both"/>
    </w:pPr>
    <w:rPr>
      <w:rFonts w:ascii="Times New Roman" w:hAnsi="Times New Roman" w:eastAsia="Times New Roman" w:cs="Times New Roman"/>
      <w:sz w:val="26"/>
      <w:szCs w:val="24"/>
      <w:u w:val="single"/>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1">
    <w:name w:val="Intestazione1"/>
    <w:basedOn w:val="Normal"/>
    <w:next w:val="Corpodeltesto"/>
    <w:qFormat/>
    <w:pPr>
      <w:keepNext w:val="true"/>
      <w:spacing w:before="240" w:after="120"/>
    </w:pPr>
    <w:rPr>
      <w:rFonts w:ascii="Arial" w:hAnsi="Arial" w:eastAsia="Microsoft YaHei" w:cs="Arial"/>
      <w:sz w:val="28"/>
      <w:szCs w:val="28"/>
    </w:rPr>
  </w:style>
  <w:style w:type="paragraph" w:styleId="Didascalia1">
    <w:name w:val="Didascalia1"/>
    <w:basedOn w:val="Normal"/>
    <w:qFormat/>
    <w:pPr>
      <w:suppressLineNumbers/>
      <w:spacing w:before="120" w:after="120"/>
    </w:pPr>
    <w:rPr>
      <w:rFonts w:cs="Arial"/>
      <w:i/>
      <w:iCs/>
      <w:sz w:val="24"/>
      <w:szCs w:val="24"/>
    </w:rPr>
  </w:style>
  <w:style w:type="paragraph" w:styleId="Intestazioneepidipagina">
    <w:name w:val="Intestazione e piè di pagina"/>
    <w:basedOn w:val="Normal"/>
    <w:qFormat/>
    <w:pPr>
      <w:suppressLineNumbers/>
      <w:tabs>
        <w:tab w:val="clear" w:pos="708"/>
        <w:tab w:val="center" w:pos="4819" w:leader="none"/>
        <w:tab w:val="right" w:pos="9638" w:leader="none"/>
      </w:tabs>
    </w:pPr>
    <w:rPr/>
  </w:style>
  <w:style w:type="paragraph" w:styleId="Intestazione">
    <w:name w:val="Header"/>
    <w:basedOn w:val="Normal"/>
    <w:pPr>
      <w:numPr>
        <w:ilvl w:val="0"/>
        <w:numId w:val="0"/>
      </w:numPr>
      <w:suppressLineNumbers/>
      <w:tabs>
        <w:tab w:val="clear" w:pos="708"/>
        <w:tab w:val="center" w:pos="4819" w:leader="none"/>
        <w:tab w:val="right" w:pos="9638" w:leader="none"/>
      </w:tabs>
      <w:ind w:left="0" w:right="0" w:hanging="0"/>
    </w:pPr>
    <w:rPr/>
  </w:style>
  <w:style w:type="paragraph" w:styleId="Pidipagina">
    <w:name w:val="Footer"/>
    <w:basedOn w:val="Normal"/>
    <w:pPr>
      <w:numPr>
        <w:ilvl w:val="0"/>
        <w:numId w:val="0"/>
      </w:numPr>
      <w:suppressLineNumbers/>
      <w:tabs>
        <w:tab w:val="clear" w:pos="708"/>
        <w:tab w:val="center" w:pos="4819" w:leader="none"/>
        <w:tab w:val="right" w:pos="9638" w:leader="none"/>
      </w:tabs>
      <w:ind w:left="0" w:right="0" w:hanging="0"/>
    </w:pPr>
    <w:rPr/>
  </w:style>
  <w:style w:type="paragraph" w:styleId="Sottotitolo">
    <w:name w:val="Subtitle"/>
    <w:basedOn w:val="Intestazione1"/>
    <w:next w:val="Corpodeltesto"/>
    <w:qFormat/>
    <w:pPr>
      <w:jc w:val="center"/>
    </w:pPr>
    <w:rPr>
      <w:i/>
      <w:iCs/>
      <w:sz w:val="28"/>
      <w:szCs w:val="28"/>
    </w:rPr>
  </w:style>
  <w:style w:type="paragraph" w:styleId="Envelopeaddress">
    <w:name w:val="envelope address"/>
    <w:basedOn w:val="Normal"/>
    <w:qFormat/>
    <w:pPr>
      <w:numPr>
        <w:ilvl w:val="0"/>
        <w:numId w:val="0"/>
      </w:numPr>
      <w:ind w:left="2880" w:right="0" w:hanging="0"/>
    </w:pPr>
    <w:rPr/>
  </w:style>
  <w:style w:type="paragraph" w:styleId="NoSpacing">
    <w:name w:val="No Spacing"/>
    <w:qFormat/>
    <w:pPr>
      <w:widowControl/>
      <w:suppressAutoHyphens w:val="true"/>
      <w:bidi w:val="0"/>
    </w:pPr>
    <w:rPr>
      <w:rFonts w:ascii="Calibri" w:hAnsi="Calibri" w:eastAsia="Calibri" w:cs="Calibri"/>
      <w:color w:val="auto"/>
      <w:sz w:val="22"/>
      <w:szCs w:val="22"/>
      <w:lang w:val="it-IT" w:bidi="ar-SA" w:eastAsia="zh-CN"/>
    </w:rPr>
  </w:style>
  <w:style w:type="paragraph" w:styleId="ListParagraph">
    <w:name w:val="List Paragraph"/>
    <w:basedOn w:val="Normal"/>
    <w:qFormat/>
    <w:pPr>
      <w:numPr>
        <w:ilvl w:val="0"/>
        <w:numId w:val="0"/>
      </w:numPr>
      <w:spacing w:lineRule="auto" w:line="276" w:before="0" w:after="200"/>
      <w:ind w:left="720" w:right="0" w:hanging="0"/>
    </w:pPr>
    <w:rPr>
      <w:rFonts w:ascii="Calibri" w:hAnsi="Calibri" w:cs="Calibri"/>
    </w:rPr>
  </w:style>
  <w:style w:type="paragraph" w:styleId="Default">
    <w:name w:val="Default"/>
    <w:qFormat/>
    <w:pPr>
      <w:widowControl/>
      <w:suppressAutoHyphens w:val="true"/>
      <w:bidi w:val="0"/>
    </w:pPr>
    <w:rPr>
      <w:rFonts w:ascii="Arial" w:hAnsi="Arial" w:eastAsia="Times New Roman" w:cs="Arial"/>
      <w:color w:val="000000"/>
      <w:sz w:val="24"/>
      <w:szCs w:val="24"/>
      <w:lang w:val="it-IT" w:bidi="ar-SA" w:eastAsia="zh-CN"/>
    </w:rPr>
  </w:style>
  <w:style w:type="paragraph" w:styleId="Pa12">
    <w:name w:val="Pa12"/>
    <w:basedOn w:val="Default"/>
    <w:qFormat/>
    <w:pPr>
      <w:numPr>
        <w:ilvl w:val="0"/>
        <w:numId w:val="0"/>
      </w:numPr>
      <w:spacing w:lineRule="atLeast" w:line="221"/>
      <w:ind w:left="0" w:right="0" w:hanging="0"/>
    </w:pPr>
    <w:rPr>
      <w:rFonts w:ascii="Sole Serif Text;Cambria" w:hAnsi="Sole Serif Text;Cambria" w:cs="Sole Serif Text;Cambria"/>
      <w:color w:val="00000A"/>
    </w:rPr>
  </w:style>
  <w:style w:type="paragraph" w:styleId="Pa41">
    <w:name w:val="Pa4+1"/>
    <w:basedOn w:val="Default"/>
    <w:qFormat/>
    <w:pPr>
      <w:numPr>
        <w:ilvl w:val="0"/>
        <w:numId w:val="0"/>
      </w:numPr>
      <w:spacing w:lineRule="atLeast" w:line="221"/>
      <w:ind w:left="0" w:right="0" w:hanging="0"/>
    </w:pPr>
    <w:rPr>
      <w:rFonts w:ascii="Sole Serif Text;Cambria" w:hAnsi="Sole Serif Text;Cambria" w:cs="Sole Serif Text;Cambria"/>
      <w:color w:val="00000A"/>
    </w:rPr>
  </w:style>
  <w:style w:type="paragraph" w:styleId="Pa51">
    <w:name w:val="Pa5+1"/>
    <w:basedOn w:val="Default"/>
    <w:qFormat/>
    <w:pPr>
      <w:numPr>
        <w:ilvl w:val="0"/>
        <w:numId w:val="0"/>
      </w:numPr>
      <w:spacing w:lineRule="atLeast" w:line="221"/>
      <w:ind w:left="0" w:right="0" w:hanging="0"/>
    </w:pPr>
    <w:rPr>
      <w:rFonts w:ascii="Sole Serif Text;Cambria" w:hAnsi="Sole Serif Text;Cambria" w:cs="Sole Serif Text;Cambria"/>
      <w:color w:val="00000A"/>
    </w:rPr>
  </w:style>
  <w:style w:type="paragraph" w:styleId="Pa31">
    <w:name w:val="Pa3+1"/>
    <w:basedOn w:val="Default"/>
    <w:qFormat/>
    <w:pPr>
      <w:numPr>
        <w:ilvl w:val="0"/>
        <w:numId w:val="0"/>
      </w:numPr>
      <w:spacing w:lineRule="atLeast" w:line="221"/>
      <w:ind w:left="0" w:right="0" w:hanging="0"/>
    </w:pPr>
    <w:rPr>
      <w:rFonts w:ascii="Sole Serif Text;Cambria" w:hAnsi="Sole Serif Text;Cambria" w:cs="Sole Serif Text;Cambria"/>
      <w:color w:val="00000A"/>
    </w:rPr>
  </w:style>
  <w:style w:type="paragraph" w:styleId="Pa42">
    <w:name w:val="Pa4+2"/>
    <w:basedOn w:val="Default"/>
    <w:qFormat/>
    <w:pPr>
      <w:numPr>
        <w:ilvl w:val="0"/>
        <w:numId w:val="0"/>
      </w:numPr>
      <w:spacing w:lineRule="atLeast" w:line="221"/>
      <w:ind w:left="0" w:right="0" w:hanging="0"/>
    </w:pPr>
    <w:rPr>
      <w:rFonts w:ascii="Sole Serif Text;Cambria" w:hAnsi="Sole Serif Text;Cambria" w:cs="Sole Serif Text;Cambria"/>
      <w:color w:val="00000A"/>
    </w:rPr>
  </w:style>
  <w:style w:type="paragraph" w:styleId="Pa32">
    <w:name w:val="Pa3+2"/>
    <w:basedOn w:val="Default"/>
    <w:qFormat/>
    <w:pPr>
      <w:numPr>
        <w:ilvl w:val="0"/>
        <w:numId w:val="0"/>
      </w:numPr>
      <w:spacing w:lineRule="atLeast" w:line="221"/>
      <w:ind w:left="0" w:right="0" w:hanging="0"/>
    </w:pPr>
    <w:rPr>
      <w:rFonts w:ascii="Sole Serif Text;Cambria" w:hAnsi="Sole Serif Text;Cambria" w:cs="Sole Serif Text;Cambria"/>
      <w:color w:val="00000A"/>
    </w:rPr>
  </w:style>
  <w:style w:type="paragraph" w:styleId="NormalWeb">
    <w:name w:val="Normal (Web)"/>
    <w:basedOn w:val="Normal"/>
    <w:qFormat/>
    <w:pPr>
      <w:numPr>
        <w:ilvl w:val="0"/>
        <w:numId w:val="0"/>
      </w:numPr>
      <w:spacing w:before="100" w:after="100"/>
      <w:ind w:left="0" w:right="0" w:hanging="0"/>
    </w:pPr>
    <w:rPr/>
  </w:style>
  <w:style w:type="paragraph" w:styleId="Pa34">
    <w:name w:val="Pa3+4"/>
    <w:basedOn w:val="Default"/>
    <w:qFormat/>
    <w:pPr>
      <w:numPr>
        <w:ilvl w:val="0"/>
        <w:numId w:val="0"/>
      </w:numPr>
      <w:spacing w:lineRule="atLeast" w:line="221"/>
      <w:ind w:left="0" w:right="0" w:hanging="0"/>
    </w:pPr>
    <w:rPr>
      <w:rFonts w:ascii="Sole Serif Text;Cambria" w:hAnsi="Sole Serif Text;Cambria" w:cs="Sole Serif Text;Cambria"/>
      <w:color w:val="00000A"/>
    </w:rPr>
  </w:style>
  <w:style w:type="paragraph" w:styleId="Pa74">
    <w:name w:val="Pa7+4"/>
    <w:basedOn w:val="Default"/>
    <w:qFormat/>
    <w:pPr>
      <w:numPr>
        <w:ilvl w:val="0"/>
        <w:numId w:val="0"/>
      </w:numPr>
      <w:spacing w:lineRule="atLeast" w:line="221"/>
      <w:ind w:left="0" w:right="0" w:hanging="0"/>
    </w:pPr>
    <w:rPr>
      <w:rFonts w:ascii="Sole Serif Text;Cambria" w:hAnsi="Sole Serif Text;Cambria" w:cs="Sole Serif Text;Cambria"/>
      <w:color w:val="00000A"/>
    </w:rPr>
  </w:style>
  <w:style w:type="paragraph" w:styleId="C15842">
    <w:name w:val="c15842"/>
    <w:basedOn w:val="Normal"/>
    <w:qFormat/>
    <w:pPr>
      <w:numPr>
        <w:ilvl w:val="0"/>
        <w:numId w:val="0"/>
      </w:numPr>
      <w:spacing w:before="100" w:after="100"/>
      <w:ind w:left="0" w:right="0" w:hanging="0"/>
    </w:pPr>
    <w:rPr/>
  </w:style>
  <w:style w:type="paragraph" w:styleId="C15843">
    <w:name w:val="c15843"/>
    <w:basedOn w:val="Normal"/>
    <w:qFormat/>
    <w:pPr>
      <w:numPr>
        <w:ilvl w:val="0"/>
        <w:numId w:val="0"/>
      </w:numPr>
      <w:spacing w:before="100" w:after="100"/>
      <w:ind w:left="0" w:right="0" w:hanging="0"/>
    </w:pPr>
    <w:rPr/>
  </w:style>
  <w:style w:type="paragraph" w:styleId="BalloonText">
    <w:name w:val="Balloon Text"/>
    <w:basedOn w:val="Normal"/>
    <w:qFormat/>
    <w:pPr>
      <w:numPr>
        <w:ilvl w:val="0"/>
        <w:numId w:val="0"/>
      </w:numPr>
      <w:ind w:left="0" w:right="0" w:hanging="0"/>
    </w:pPr>
    <w:rPr>
      <w:rFonts w:ascii="Tahoma" w:hAnsi="Tahoma" w:cs="Tahoma"/>
      <w:sz w:val="16"/>
      <w:szCs w:val="16"/>
    </w:rPr>
  </w:style>
  <w:style w:type="paragraph" w:styleId="Codartr1">
    <w:name w:val="codart_r1"/>
    <w:basedOn w:val="Normal"/>
    <w:qFormat/>
    <w:pPr>
      <w:numPr>
        <w:ilvl w:val="0"/>
        <w:numId w:val="0"/>
      </w:numPr>
      <w:spacing w:before="100" w:after="100"/>
      <w:ind w:left="0" w:right="0" w:hanging="0"/>
    </w:pPr>
    <w:rPr/>
  </w:style>
  <w:style w:type="paragraph" w:styleId="Massgetesto">
    <w:name w:val="massge_testo"/>
    <w:basedOn w:val="Normal"/>
    <w:qFormat/>
    <w:pPr>
      <w:numPr>
        <w:ilvl w:val="0"/>
        <w:numId w:val="0"/>
      </w:numPr>
      <w:spacing w:before="100" w:after="100"/>
      <w:ind w:left="0" w:right="0" w:hanging="0"/>
    </w:pPr>
    <w:rPr>
      <w:rFonts w:ascii="Times New Roman" w:hAnsi="Times New Roman" w:eastAsia="Times New Roman" w:cs="Times New Roman"/>
      <w:sz w:val="24"/>
      <w:szCs w:val="24"/>
    </w:rPr>
  </w:style>
  <w:style w:type="paragraph" w:styleId="Codartestremi">
    <w:name w:val="codart_estremi"/>
    <w:basedOn w:val="Normal"/>
    <w:qFormat/>
    <w:pPr>
      <w:numPr>
        <w:ilvl w:val="0"/>
        <w:numId w:val="0"/>
      </w:numPr>
      <w:spacing w:before="100" w:after="100"/>
      <w:ind w:left="0" w:right="0" w:hanging="0"/>
    </w:pPr>
    <w:rPr>
      <w:rFonts w:ascii="Times New Roman" w:hAnsi="Times New Roman" w:eastAsia="Times New Roman" w:cs="Times New Roman"/>
      <w:sz w:val="24"/>
      <w:szCs w:val="24"/>
    </w:rPr>
  </w:style>
  <w:style w:type="paragraph" w:styleId="Provvr0">
    <w:name w:val="provv_r0"/>
    <w:basedOn w:val="Normal"/>
    <w:qFormat/>
    <w:pPr>
      <w:numPr>
        <w:ilvl w:val="0"/>
        <w:numId w:val="0"/>
      </w:numPr>
      <w:spacing w:before="100" w:after="100"/>
      <w:ind w:left="0" w:right="0" w:hanging="0"/>
    </w:pPr>
    <w:rPr>
      <w:rFonts w:ascii="Times New Roman" w:hAnsi="Times New Roman" w:eastAsia="Times New Roman" w:cs="Times New Roman"/>
      <w:sz w:val="24"/>
      <w:szCs w:val="24"/>
    </w:rPr>
  </w:style>
  <w:style w:type="paragraph" w:styleId="Provvr1">
    <w:name w:val="provv_r1"/>
    <w:basedOn w:val="Normal"/>
    <w:qFormat/>
    <w:pPr>
      <w:numPr>
        <w:ilvl w:val="0"/>
        <w:numId w:val="0"/>
      </w:numPr>
      <w:spacing w:before="100" w:after="100"/>
      <w:ind w:left="0" w:right="0" w:hanging="0"/>
    </w:pPr>
    <w:rPr>
      <w:rFonts w:ascii="Times New Roman" w:hAnsi="Times New Roman" w:eastAsia="Times New Roman" w:cs="Times New Roman"/>
      <w:sz w:val="24"/>
      <w:szCs w:val="24"/>
    </w:rPr>
  </w:style>
  <w:style w:type="paragraph" w:styleId="Provvr2">
    <w:name w:val="provv_r2"/>
    <w:basedOn w:val="Normal"/>
    <w:qFormat/>
    <w:pPr>
      <w:numPr>
        <w:ilvl w:val="0"/>
        <w:numId w:val="0"/>
      </w:numPr>
      <w:spacing w:before="100" w:after="100"/>
      <w:ind w:left="0" w:right="0" w:hanging="0"/>
    </w:pPr>
    <w:rPr>
      <w:rFonts w:ascii="Times New Roman" w:hAnsi="Times New Roman" w:eastAsia="Times New Roman" w:cs="Times New Roman"/>
      <w:sz w:val="24"/>
      <w:szCs w:val="24"/>
    </w:rPr>
  </w:style>
  <w:style w:type="paragraph" w:styleId="Paragrafoelenco">
    <w:name w:val="Paragrafo elenco"/>
    <w:basedOn w:val="Normal"/>
    <w:qFormat/>
    <w:pPr>
      <w:suppressAutoHyphens w:val="false"/>
      <w:spacing w:lineRule="auto" w:line="254" w:before="0" w:after="160"/>
      <w:ind w:left="720" w:right="0" w:hanging="0"/>
    </w:pPr>
    <w:rPr>
      <w:rFonts w:ascii="Calibri" w:hAnsi="Calibri" w:eastAsia="Calibri" w:cs="Arial"/>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37</TotalTime>
  <Application>LibreOffice/7.2.1.2$Windows_X86_64 LibreOffice_project/87b77fad49947c1441b67c559c339af8f3517e22</Application>
  <AppVersion>15.0000</AppVersion>
  <Pages>11</Pages>
  <Words>3064</Words>
  <Characters>18568</Characters>
  <CharactersWithSpaces>21589</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2021-08-25T13:05:00Z</dcterms:created>
  <dc:creator>Avv. Fusillo</dc:creator>
  <dc:description/>
  <cp:keywords> </cp:keywords>
  <dc:language>it-IT</dc:language>
  <cp:lastModifiedBy/>
  <cp:lastPrinted>2020-12-14T18:06:00Z</cp:lastPrinted>
  <dcterms:modified xsi:type="dcterms:W3CDTF">2021-10-06T11:17:36Z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